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60EEE" w14:textId="77777777" w:rsidR="00180143" w:rsidRPr="00001E69" w:rsidRDefault="009366A2" w:rsidP="001C3CC7">
      <w:pPr>
        <w:pStyle w:val="Ttulo"/>
        <w:jc w:val="center"/>
        <w:rPr>
          <w:rFonts w:asciiTheme="minorHAnsi" w:hAnsiTheme="minorHAnsi" w:cstheme="minorHAnsi"/>
          <w:b/>
          <w:color w:val="2E74B5" w:themeColor="accent1" w:themeShade="BF"/>
          <w:sz w:val="32"/>
          <w:szCs w:val="32"/>
        </w:rPr>
      </w:pPr>
      <w:r w:rsidRPr="00001E69">
        <w:rPr>
          <w:rFonts w:asciiTheme="minorHAnsi" w:hAnsiTheme="minorHAnsi" w:cstheme="minorHAnsi"/>
          <w:b/>
          <w:color w:val="2E74B5" w:themeColor="accent1" w:themeShade="BF"/>
          <w:sz w:val="32"/>
          <w:szCs w:val="32"/>
        </w:rPr>
        <w:t>P</w:t>
      </w:r>
      <w:r w:rsidR="00B83549" w:rsidRPr="00001E69">
        <w:rPr>
          <w:rFonts w:asciiTheme="minorHAnsi" w:hAnsiTheme="minorHAnsi" w:cstheme="minorHAnsi"/>
          <w:b/>
          <w:color w:val="2E74B5" w:themeColor="accent1" w:themeShade="BF"/>
          <w:sz w:val="32"/>
          <w:szCs w:val="32"/>
        </w:rPr>
        <w:t>REGUNTAS FRECUENTES</w:t>
      </w:r>
      <w:r w:rsidR="001C3CC7" w:rsidRPr="00001E69">
        <w:rPr>
          <w:rFonts w:asciiTheme="minorHAnsi" w:hAnsiTheme="minorHAnsi" w:cstheme="minorHAnsi"/>
          <w:b/>
          <w:color w:val="2E74B5" w:themeColor="accent1" w:themeShade="BF"/>
          <w:sz w:val="32"/>
          <w:szCs w:val="32"/>
        </w:rPr>
        <w:t xml:space="preserve"> </w:t>
      </w:r>
    </w:p>
    <w:p w14:paraId="336D4DFB" w14:textId="4A52A5F9" w:rsidR="00370AFD" w:rsidRPr="00001E69" w:rsidRDefault="00A03F73" w:rsidP="001C3CC7">
      <w:pPr>
        <w:pStyle w:val="Ttulo"/>
        <w:jc w:val="center"/>
        <w:rPr>
          <w:rFonts w:asciiTheme="minorHAnsi" w:hAnsiTheme="minorHAnsi" w:cstheme="minorHAnsi"/>
          <w:b/>
          <w:color w:val="2E74B5" w:themeColor="accent1" w:themeShade="BF"/>
          <w:sz w:val="32"/>
          <w:szCs w:val="32"/>
        </w:rPr>
      </w:pPr>
      <w:r w:rsidRPr="00001E69">
        <w:rPr>
          <w:rFonts w:asciiTheme="minorHAnsi" w:hAnsiTheme="minorHAnsi" w:cstheme="minorHAnsi"/>
          <w:b/>
          <w:color w:val="2E74B5" w:themeColor="accent1" w:themeShade="BF"/>
          <w:sz w:val="32"/>
          <w:szCs w:val="32"/>
        </w:rPr>
        <w:t xml:space="preserve">SISTEMA </w:t>
      </w:r>
      <w:r w:rsidR="00180143" w:rsidRPr="00001E69">
        <w:rPr>
          <w:rFonts w:asciiTheme="minorHAnsi" w:hAnsiTheme="minorHAnsi" w:cstheme="minorHAnsi"/>
          <w:b/>
          <w:color w:val="2E74B5" w:themeColor="accent1" w:themeShade="BF"/>
          <w:sz w:val="32"/>
          <w:szCs w:val="32"/>
        </w:rPr>
        <w:t>DE ENTIDADES TÉCNICAS DE FISCALIZACIÓN AMBIENTAL-</w:t>
      </w:r>
      <w:r w:rsidR="001C3CC7" w:rsidRPr="00001E69">
        <w:rPr>
          <w:rFonts w:asciiTheme="minorHAnsi" w:hAnsiTheme="minorHAnsi" w:cstheme="minorHAnsi"/>
          <w:b/>
          <w:color w:val="2E74B5" w:themeColor="accent1" w:themeShade="BF"/>
          <w:sz w:val="32"/>
          <w:szCs w:val="32"/>
        </w:rPr>
        <w:t>ETFA</w:t>
      </w:r>
    </w:p>
    <w:p w14:paraId="48D6BAC8" w14:textId="77777777" w:rsidR="00DF4E18" w:rsidRDefault="00DF4E18" w:rsidP="006742FD"/>
    <w:p w14:paraId="03556131" w14:textId="147696EB" w:rsidR="006742FD" w:rsidRDefault="00411D4C" w:rsidP="00411D4C">
      <w:pPr>
        <w:spacing w:after="0" w:line="240" w:lineRule="auto"/>
        <w:jc w:val="both"/>
        <w:rPr>
          <w:rFonts w:eastAsia="Calibri" w:cs="Calibri"/>
          <w:lang w:eastAsia="es-CL"/>
        </w:rPr>
      </w:pPr>
      <w:r>
        <w:t xml:space="preserve">Para </w:t>
      </w:r>
      <w:proofErr w:type="gramStart"/>
      <w:r>
        <w:t>mayor información</w:t>
      </w:r>
      <w:proofErr w:type="gramEnd"/>
      <w:r>
        <w:t xml:space="preserve"> dirigirse al siguiente link: </w:t>
      </w:r>
      <w:hyperlink r:id="rId7" w:history="1">
        <w:r w:rsidRPr="00411D4C">
          <w:rPr>
            <w:rStyle w:val="Hipervnculo"/>
            <w:rFonts w:eastAsia="Calibri" w:cs="Calibri"/>
            <w:color w:val="auto"/>
            <w:u w:val="none"/>
            <w:lang w:eastAsia="es-CL"/>
          </w:rPr>
          <w:t>https://entidadestecnicas.sma.gob.cl/Home/Documentos</w:t>
        </w:r>
      </w:hyperlink>
      <w:r>
        <w:rPr>
          <w:rFonts w:eastAsia="Calibri" w:cs="Calibri"/>
          <w:lang w:eastAsia="es-CL"/>
        </w:rPr>
        <w:t xml:space="preserve">, donde se accede al </w:t>
      </w:r>
      <w:r w:rsidR="00DF4E18">
        <w:t>reglamento ETFA (D.S.38/2013 MMA</w:t>
      </w:r>
      <w:r>
        <w:t>)</w:t>
      </w:r>
      <w:r w:rsidR="00DF4E18">
        <w:t>, así como</w:t>
      </w:r>
      <w:r>
        <w:t xml:space="preserve"> a</w:t>
      </w:r>
      <w:r w:rsidR="00DF4E18">
        <w:t xml:space="preserve"> las instrucciones, guías y formatos asociados al sistema ETFA</w:t>
      </w:r>
      <w:r w:rsidR="00DF4E18">
        <w:rPr>
          <w:rFonts w:eastAsia="Calibri" w:cs="Calibri"/>
          <w:lang w:eastAsia="es-CL"/>
        </w:rPr>
        <w:t>.</w:t>
      </w:r>
    </w:p>
    <w:p w14:paraId="70EA2D84" w14:textId="77777777" w:rsidR="00411D4C" w:rsidRPr="006742FD" w:rsidRDefault="00411D4C" w:rsidP="00DF4E18">
      <w:pPr>
        <w:spacing w:after="0"/>
        <w:jc w:val="both"/>
      </w:pPr>
    </w:p>
    <w:p w14:paraId="16F2AC2C" w14:textId="7355B72F" w:rsidR="00AE7CA9" w:rsidRPr="00180143" w:rsidRDefault="00B83549" w:rsidP="00DF4E18">
      <w:pPr>
        <w:pStyle w:val="Ttulo1"/>
        <w:numPr>
          <w:ilvl w:val="0"/>
          <w:numId w:val="0"/>
        </w:numPr>
        <w:spacing w:before="0" w:line="240" w:lineRule="auto"/>
        <w:ind w:left="345" w:hanging="345"/>
        <w:jc w:val="both"/>
        <w:rPr>
          <w:rFonts w:asciiTheme="minorHAnsi" w:hAnsiTheme="minorHAnsi" w:cstheme="minorHAnsi"/>
          <w:b/>
          <w:bCs/>
          <w:sz w:val="28"/>
          <w:szCs w:val="28"/>
        </w:rPr>
      </w:pPr>
      <w:r w:rsidRPr="00180143">
        <w:rPr>
          <w:rFonts w:asciiTheme="minorHAnsi" w:hAnsiTheme="minorHAnsi" w:cstheme="minorHAnsi"/>
          <w:b/>
          <w:bCs/>
          <w:sz w:val="28"/>
          <w:szCs w:val="28"/>
        </w:rPr>
        <w:t>I</w:t>
      </w:r>
      <w:r w:rsidRPr="00180143">
        <w:rPr>
          <w:rFonts w:asciiTheme="minorHAnsi" w:hAnsiTheme="minorHAnsi" w:cstheme="minorHAnsi"/>
          <w:b/>
          <w:bCs/>
          <w:sz w:val="28"/>
          <w:szCs w:val="28"/>
        </w:rPr>
        <w:tab/>
      </w:r>
      <w:r w:rsidR="00AE7CA9" w:rsidRPr="00180143">
        <w:rPr>
          <w:rFonts w:asciiTheme="minorHAnsi" w:hAnsiTheme="minorHAnsi" w:cstheme="minorHAnsi"/>
          <w:b/>
          <w:bCs/>
          <w:sz w:val="28"/>
          <w:szCs w:val="28"/>
        </w:rPr>
        <w:t xml:space="preserve">REFERIDO A </w:t>
      </w:r>
      <w:r w:rsidR="00DF4E18">
        <w:rPr>
          <w:rFonts w:asciiTheme="minorHAnsi" w:hAnsiTheme="minorHAnsi" w:cstheme="minorHAnsi"/>
          <w:b/>
          <w:bCs/>
          <w:sz w:val="28"/>
          <w:szCs w:val="28"/>
        </w:rPr>
        <w:t xml:space="preserve">LAS </w:t>
      </w:r>
      <w:r w:rsidR="00180143" w:rsidRPr="00180143">
        <w:rPr>
          <w:rFonts w:asciiTheme="minorHAnsi" w:hAnsiTheme="minorHAnsi" w:cstheme="minorHAnsi"/>
          <w:b/>
          <w:bCs/>
          <w:sz w:val="28"/>
          <w:szCs w:val="28"/>
        </w:rPr>
        <w:t>ETFA</w:t>
      </w:r>
    </w:p>
    <w:p w14:paraId="701ECB83" w14:textId="3B52379D" w:rsidR="00C744EC" w:rsidRDefault="00C744EC" w:rsidP="00C744EC">
      <w:pPr>
        <w:pStyle w:val="Prrafodelista"/>
        <w:numPr>
          <w:ilvl w:val="0"/>
          <w:numId w:val="10"/>
        </w:numPr>
        <w:jc w:val="both"/>
        <w:rPr>
          <w:b/>
          <w:bCs/>
          <w:lang w:val="es-ES"/>
        </w:rPr>
      </w:pPr>
      <w:r w:rsidRPr="00C744EC">
        <w:rPr>
          <w:b/>
          <w:bCs/>
          <w:lang w:val="es-ES"/>
        </w:rPr>
        <w:t xml:space="preserve">¿Qué es un alcance </w:t>
      </w:r>
      <w:r w:rsidR="00012CAF">
        <w:rPr>
          <w:b/>
          <w:bCs/>
          <w:lang w:val="es-ES"/>
        </w:rPr>
        <w:t>de</w:t>
      </w:r>
      <w:r w:rsidRPr="00C744EC">
        <w:rPr>
          <w:b/>
          <w:bCs/>
          <w:lang w:val="es-ES"/>
        </w:rPr>
        <w:t xml:space="preserve"> autorización? </w:t>
      </w:r>
    </w:p>
    <w:p w14:paraId="27D129F9" w14:textId="37B5B81D" w:rsidR="00C744EC" w:rsidRDefault="00C744EC" w:rsidP="00DF4E18">
      <w:pPr>
        <w:pStyle w:val="Prrafodelista"/>
        <w:ind w:left="360"/>
        <w:jc w:val="both"/>
        <w:rPr>
          <w:lang w:val="es-ES"/>
        </w:rPr>
      </w:pPr>
      <w:r>
        <w:rPr>
          <w:lang w:val="es-ES"/>
        </w:rPr>
        <w:t xml:space="preserve">Es una línea de información técnica para la que se concede la autorización, y está compuesta por </w:t>
      </w:r>
      <w:r w:rsidR="00777DEE">
        <w:rPr>
          <w:lang w:val="es-ES"/>
        </w:rPr>
        <w:t>varios</w:t>
      </w:r>
      <w:r>
        <w:rPr>
          <w:lang w:val="es-ES"/>
        </w:rPr>
        <w:t xml:space="preserve"> elementos (actividad, componente ambiental, aplicación (asociada a si existe norma de calidad o de emisión para ese alcance), subárea o producto (matriz), </w:t>
      </w:r>
      <w:proofErr w:type="gramStart"/>
      <w:r>
        <w:rPr>
          <w:lang w:val="es-ES"/>
        </w:rPr>
        <w:t xml:space="preserve">método </w:t>
      </w:r>
      <w:r w:rsidR="00CD29B7">
        <w:rPr>
          <w:lang w:val="es-ES"/>
        </w:rPr>
        <w:t xml:space="preserve"> (</w:t>
      </w:r>
      <w:proofErr w:type="gramEnd"/>
      <w:r w:rsidR="00CD29B7">
        <w:rPr>
          <w:lang w:val="es-ES"/>
        </w:rPr>
        <w:t xml:space="preserve">método </w:t>
      </w:r>
      <w:r>
        <w:rPr>
          <w:lang w:val="es-ES"/>
        </w:rPr>
        <w:t>normalizado, método de tratamiento de muestras y/o método propio</w:t>
      </w:r>
      <w:r w:rsidR="00CD29B7">
        <w:rPr>
          <w:lang w:val="es-ES"/>
        </w:rPr>
        <w:t xml:space="preserve"> según corresponda. El método propio es</w:t>
      </w:r>
      <w:r w:rsidR="00012CAF">
        <w:rPr>
          <w:lang w:val="es-ES"/>
        </w:rPr>
        <w:t xml:space="preserve"> </w:t>
      </w:r>
      <w:r>
        <w:rPr>
          <w:lang w:val="es-ES"/>
        </w:rPr>
        <w:t>desarrollado por cada ETFA para ese alcance)</w:t>
      </w:r>
      <w:r w:rsidR="00777DEE">
        <w:rPr>
          <w:lang w:val="es-ES"/>
        </w:rPr>
        <w:t>,</w:t>
      </w:r>
      <w:r>
        <w:rPr>
          <w:lang w:val="es-ES"/>
        </w:rPr>
        <w:t xml:space="preserve"> y parámetro. Si cambia cualquiera de esos elementos entonces el alcance cambia.</w:t>
      </w:r>
    </w:p>
    <w:p w14:paraId="5B17A625" w14:textId="4FEEE83B" w:rsidR="00001E69" w:rsidRDefault="00001E69" w:rsidP="00DF4E18">
      <w:pPr>
        <w:pStyle w:val="Prrafodelista"/>
        <w:ind w:left="360"/>
        <w:jc w:val="both"/>
        <w:rPr>
          <w:lang w:val="es-ES"/>
        </w:rPr>
      </w:pPr>
      <w:r>
        <w:rPr>
          <w:lang w:val="es-ES"/>
        </w:rPr>
        <w:t>Ejemplo de alcance</w:t>
      </w:r>
      <w:r w:rsidR="000F185F">
        <w:rPr>
          <w:lang w:val="es-ES"/>
        </w:rPr>
        <w:t xml:space="preserve"> ETFA</w:t>
      </w:r>
      <w:r>
        <w:rPr>
          <w:lang w:val="es-ES"/>
        </w:rPr>
        <w:t>:</w:t>
      </w:r>
    </w:p>
    <w:p w14:paraId="14966471" w14:textId="3953AC6C" w:rsidR="00001E69" w:rsidRPr="00C744EC" w:rsidRDefault="000F185F" w:rsidP="00C744EC">
      <w:pPr>
        <w:pStyle w:val="Prrafodelista"/>
        <w:jc w:val="both"/>
        <w:rPr>
          <w:lang w:val="es-ES"/>
        </w:rPr>
      </w:pPr>
      <w:r>
        <w:rPr>
          <w:noProof/>
          <w:lang w:val="es-ES"/>
        </w:rPr>
        <w:drawing>
          <wp:anchor distT="0" distB="0" distL="114300" distR="114300" simplePos="0" relativeHeight="251658240" behindDoc="1" locked="0" layoutInCell="1" allowOverlap="1" wp14:anchorId="393865D3" wp14:editId="49B34024">
            <wp:simplePos x="0" y="0"/>
            <wp:positionH relativeFrom="margin">
              <wp:align>right</wp:align>
            </wp:positionH>
            <wp:positionV relativeFrom="paragraph">
              <wp:posOffset>74016</wp:posOffset>
            </wp:positionV>
            <wp:extent cx="5353380" cy="2411095"/>
            <wp:effectExtent l="0" t="0" r="0" b="825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53380" cy="2411095"/>
                    </a:xfrm>
                    <a:prstGeom prst="rect">
                      <a:avLst/>
                    </a:prstGeom>
                    <a:noFill/>
                    <a:ln>
                      <a:noFill/>
                    </a:ln>
                  </pic:spPr>
                </pic:pic>
              </a:graphicData>
            </a:graphic>
            <wp14:sizeRelH relativeFrom="margin">
              <wp14:pctWidth>0</wp14:pctWidth>
            </wp14:sizeRelH>
          </wp:anchor>
        </w:drawing>
      </w:r>
    </w:p>
    <w:p w14:paraId="7325003D" w14:textId="77777777" w:rsidR="00AE7CA9" w:rsidRPr="00A03F73" w:rsidRDefault="00AE7CA9" w:rsidP="00AE7CA9">
      <w:pPr>
        <w:pStyle w:val="Prrafodelista"/>
        <w:jc w:val="both"/>
        <w:rPr>
          <w:sz w:val="10"/>
          <w:szCs w:val="10"/>
          <w:lang w:val="es-ES"/>
        </w:rPr>
      </w:pPr>
    </w:p>
    <w:p w14:paraId="6D87275B" w14:textId="5A0A86DF" w:rsidR="00AE7CA9" w:rsidRPr="000F185F" w:rsidRDefault="00AE7CA9" w:rsidP="00AE7CA9">
      <w:pPr>
        <w:pStyle w:val="Prrafodelista"/>
        <w:jc w:val="both"/>
        <w:rPr>
          <w:lang w:val="es-ES"/>
        </w:rPr>
      </w:pPr>
    </w:p>
    <w:p w14:paraId="213DDCE7" w14:textId="77777777" w:rsidR="009B2DD1" w:rsidRDefault="009B2DD1" w:rsidP="00DF4E18">
      <w:pPr>
        <w:pStyle w:val="Prrafodelista"/>
        <w:ind w:left="360"/>
        <w:jc w:val="both"/>
        <w:rPr>
          <w:lang w:val="es-ES"/>
        </w:rPr>
      </w:pPr>
    </w:p>
    <w:p w14:paraId="6C780488" w14:textId="77777777" w:rsidR="009B2DD1" w:rsidRDefault="009B2DD1" w:rsidP="00DF4E18">
      <w:pPr>
        <w:pStyle w:val="Prrafodelista"/>
        <w:ind w:left="360"/>
        <w:jc w:val="both"/>
        <w:rPr>
          <w:lang w:val="es-ES"/>
        </w:rPr>
      </w:pPr>
    </w:p>
    <w:p w14:paraId="28307D95" w14:textId="77777777" w:rsidR="009B2DD1" w:rsidRDefault="009B2DD1" w:rsidP="00DF4E18">
      <w:pPr>
        <w:pStyle w:val="Prrafodelista"/>
        <w:ind w:left="360"/>
        <w:jc w:val="both"/>
        <w:rPr>
          <w:lang w:val="es-ES"/>
        </w:rPr>
      </w:pPr>
    </w:p>
    <w:p w14:paraId="48598F70" w14:textId="77777777" w:rsidR="009B2DD1" w:rsidRDefault="009B2DD1" w:rsidP="00DF4E18">
      <w:pPr>
        <w:pStyle w:val="Prrafodelista"/>
        <w:ind w:left="360"/>
        <w:jc w:val="both"/>
        <w:rPr>
          <w:lang w:val="es-ES"/>
        </w:rPr>
      </w:pPr>
    </w:p>
    <w:p w14:paraId="7659EA4B" w14:textId="77777777" w:rsidR="009B2DD1" w:rsidRDefault="009B2DD1" w:rsidP="00DF4E18">
      <w:pPr>
        <w:pStyle w:val="Prrafodelista"/>
        <w:ind w:left="360"/>
        <w:jc w:val="both"/>
        <w:rPr>
          <w:lang w:val="es-ES"/>
        </w:rPr>
      </w:pPr>
    </w:p>
    <w:p w14:paraId="6EC5626C" w14:textId="77777777" w:rsidR="009B2DD1" w:rsidRDefault="009B2DD1" w:rsidP="00DF4E18">
      <w:pPr>
        <w:pStyle w:val="Prrafodelista"/>
        <w:ind w:left="360"/>
        <w:jc w:val="both"/>
        <w:rPr>
          <w:lang w:val="es-ES"/>
        </w:rPr>
      </w:pPr>
    </w:p>
    <w:p w14:paraId="1992A49C" w14:textId="77777777" w:rsidR="009B2DD1" w:rsidRDefault="009B2DD1" w:rsidP="00DF4E18">
      <w:pPr>
        <w:pStyle w:val="Prrafodelista"/>
        <w:ind w:left="360"/>
        <w:jc w:val="both"/>
        <w:rPr>
          <w:lang w:val="es-ES"/>
        </w:rPr>
      </w:pPr>
    </w:p>
    <w:p w14:paraId="080B8C92" w14:textId="77777777" w:rsidR="009B2DD1" w:rsidRDefault="009B2DD1" w:rsidP="00DF4E18">
      <w:pPr>
        <w:pStyle w:val="Prrafodelista"/>
        <w:ind w:left="360"/>
        <w:jc w:val="both"/>
        <w:rPr>
          <w:lang w:val="es-ES"/>
        </w:rPr>
      </w:pPr>
    </w:p>
    <w:p w14:paraId="65E414CD" w14:textId="77777777" w:rsidR="009B2DD1" w:rsidRDefault="009B2DD1" w:rsidP="00DF4E18">
      <w:pPr>
        <w:pStyle w:val="Prrafodelista"/>
        <w:ind w:left="360"/>
        <w:jc w:val="both"/>
        <w:rPr>
          <w:lang w:val="es-ES"/>
        </w:rPr>
      </w:pPr>
    </w:p>
    <w:p w14:paraId="446CFED3" w14:textId="77777777" w:rsidR="009B2DD1" w:rsidRDefault="009B2DD1" w:rsidP="00DF4E18">
      <w:pPr>
        <w:pStyle w:val="Prrafodelista"/>
        <w:ind w:left="360"/>
        <w:jc w:val="both"/>
        <w:rPr>
          <w:lang w:val="es-ES"/>
        </w:rPr>
      </w:pPr>
    </w:p>
    <w:p w14:paraId="465C0304" w14:textId="77777777" w:rsidR="009B2DD1" w:rsidRDefault="009B2DD1" w:rsidP="00DF4E18">
      <w:pPr>
        <w:pStyle w:val="Prrafodelista"/>
        <w:ind w:left="360"/>
        <w:jc w:val="both"/>
        <w:rPr>
          <w:lang w:val="es-ES"/>
        </w:rPr>
      </w:pPr>
    </w:p>
    <w:p w14:paraId="5726350E" w14:textId="77777777" w:rsidR="009B2DD1" w:rsidRDefault="009B2DD1" w:rsidP="00DF4E18">
      <w:pPr>
        <w:pStyle w:val="Prrafodelista"/>
        <w:ind w:left="360"/>
        <w:jc w:val="both"/>
        <w:rPr>
          <w:lang w:val="es-ES"/>
        </w:rPr>
      </w:pPr>
    </w:p>
    <w:p w14:paraId="1880A060" w14:textId="77777777" w:rsidR="009B2DD1" w:rsidRDefault="009B2DD1" w:rsidP="00DF4E18">
      <w:pPr>
        <w:pStyle w:val="Prrafodelista"/>
        <w:ind w:left="360"/>
        <w:jc w:val="both"/>
        <w:rPr>
          <w:lang w:val="es-ES"/>
        </w:rPr>
      </w:pPr>
    </w:p>
    <w:p w14:paraId="60E4F878" w14:textId="7CB074E0" w:rsidR="000F185F" w:rsidRDefault="000F185F" w:rsidP="00DF4E18">
      <w:pPr>
        <w:pStyle w:val="Prrafodelista"/>
        <w:ind w:left="360"/>
        <w:jc w:val="both"/>
        <w:rPr>
          <w:lang w:val="es-ES"/>
        </w:rPr>
      </w:pPr>
      <w:r w:rsidRPr="000F185F">
        <w:rPr>
          <w:lang w:val="es-ES"/>
        </w:rPr>
        <w:t>Todos los alcances autorizados se encuentran en el registro público</w:t>
      </w:r>
      <w:r>
        <w:rPr>
          <w:lang w:val="es-ES"/>
        </w:rPr>
        <w:t xml:space="preserve"> de la SMA</w:t>
      </w:r>
      <w:r w:rsidRPr="000F185F">
        <w:rPr>
          <w:lang w:val="es-ES"/>
        </w:rPr>
        <w:t xml:space="preserve"> (</w:t>
      </w:r>
      <w:hyperlink r:id="rId9" w:history="1">
        <w:r w:rsidRPr="000F185F">
          <w:rPr>
            <w:rStyle w:val="Hipervnculo"/>
            <w:color w:val="auto"/>
            <w:u w:val="none"/>
            <w:lang w:val="es-ES"/>
          </w:rPr>
          <w:t>https://entidadestecnicas.sma.gob.cl/Sucursal/RegistroPublico</w:t>
        </w:r>
      </w:hyperlink>
      <w:r w:rsidRPr="000F185F">
        <w:rPr>
          <w:lang w:val="es-ES"/>
        </w:rPr>
        <w:t>).</w:t>
      </w:r>
    </w:p>
    <w:p w14:paraId="0FC71B7F" w14:textId="6476A07D" w:rsidR="000F185F" w:rsidRDefault="000F185F" w:rsidP="00AE7CA9">
      <w:pPr>
        <w:pStyle w:val="Prrafodelista"/>
        <w:jc w:val="both"/>
        <w:rPr>
          <w:lang w:val="es-ES"/>
        </w:rPr>
      </w:pPr>
    </w:p>
    <w:p w14:paraId="74FDD05B" w14:textId="77777777" w:rsidR="00AE7CA9" w:rsidRPr="00D5445C" w:rsidRDefault="00AE7CA9" w:rsidP="00AE7CA9">
      <w:pPr>
        <w:pStyle w:val="Prrafodelista"/>
        <w:numPr>
          <w:ilvl w:val="0"/>
          <w:numId w:val="10"/>
        </w:numPr>
        <w:jc w:val="both"/>
        <w:rPr>
          <w:b/>
          <w:lang w:val="es-ES"/>
        </w:rPr>
      </w:pPr>
      <w:proofErr w:type="gramStart"/>
      <w:r w:rsidRPr="00D5445C">
        <w:rPr>
          <w:b/>
          <w:lang w:val="es-ES"/>
        </w:rPr>
        <w:t>Cuál es el objetivo de la boleta de garantía bancaria de 500 UF establecida como requisito</w:t>
      </w:r>
      <w:r>
        <w:rPr>
          <w:b/>
          <w:lang w:val="es-ES"/>
        </w:rPr>
        <w:t xml:space="preserve"> en el Reglamento ETFA?</w:t>
      </w:r>
      <w:proofErr w:type="gramEnd"/>
      <w:r w:rsidRPr="00D5445C">
        <w:rPr>
          <w:b/>
          <w:lang w:val="es-ES"/>
        </w:rPr>
        <w:t xml:space="preserve"> </w:t>
      </w:r>
      <w:r>
        <w:rPr>
          <w:b/>
          <w:lang w:val="es-ES"/>
        </w:rPr>
        <w:t>¿</w:t>
      </w:r>
      <w:r w:rsidRPr="00D5445C">
        <w:rPr>
          <w:b/>
          <w:lang w:val="es-ES"/>
        </w:rPr>
        <w:t>Puede entregarse otro documento bancario, como póliza de garantía?</w:t>
      </w:r>
    </w:p>
    <w:p w14:paraId="482F2E77" w14:textId="77777777" w:rsidR="00AE7CA9" w:rsidRPr="00317A38" w:rsidRDefault="00AE7CA9" w:rsidP="00DF4E18">
      <w:pPr>
        <w:pStyle w:val="Prrafodelista"/>
        <w:ind w:left="360"/>
        <w:jc w:val="both"/>
        <w:rPr>
          <w:lang w:val="es-ES"/>
        </w:rPr>
      </w:pPr>
      <w:r w:rsidRPr="00317A38">
        <w:rPr>
          <w:lang w:val="es-ES"/>
        </w:rPr>
        <w:t xml:space="preserve">La boleta </w:t>
      </w:r>
      <w:r>
        <w:rPr>
          <w:lang w:val="es-ES"/>
        </w:rPr>
        <w:t xml:space="preserve">de garantía </w:t>
      </w:r>
      <w:r w:rsidRPr="00317A38">
        <w:rPr>
          <w:lang w:val="es-ES"/>
        </w:rPr>
        <w:t>caucionará el pago de la multa que pueda ser impuesta a una ETFA, en un procedimiento sancionatorio según lo establecido en el artículo 19 del Reglamento ETFA.</w:t>
      </w:r>
    </w:p>
    <w:p w14:paraId="55166B5D" w14:textId="77777777" w:rsidR="00AE7CA9" w:rsidRPr="00317A38" w:rsidRDefault="00AE7CA9" w:rsidP="009B2DD1">
      <w:pPr>
        <w:pStyle w:val="Prrafodelista"/>
        <w:ind w:left="360"/>
        <w:jc w:val="both"/>
        <w:rPr>
          <w:lang w:val="es-ES"/>
        </w:rPr>
      </w:pPr>
      <w:r w:rsidRPr="00317A38">
        <w:rPr>
          <w:lang w:val="es-ES"/>
        </w:rPr>
        <w:t>No se acepta póliza de garantía ni ningún otro instrumento bancario distinto a la boleta de garantía bancaria establecida en el Reglamento ETFA.</w:t>
      </w:r>
    </w:p>
    <w:p w14:paraId="6AB9AC7E" w14:textId="248869BF" w:rsidR="00C744EC" w:rsidRDefault="00C744EC" w:rsidP="00C744EC">
      <w:pPr>
        <w:jc w:val="both"/>
        <w:rPr>
          <w:sz w:val="16"/>
          <w:szCs w:val="16"/>
          <w:lang w:val="es-ES"/>
        </w:rPr>
      </w:pPr>
    </w:p>
    <w:p w14:paraId="204D9CF4" w14:textId="5C8B0AF0" w:rsidR="00411D4C" w:rsidRDefault="00411D4C" w:rsidP="00C744EC">
      <w:pPr>
        <w:jc w:val="both"/>
        <w:rPr>
          <w:sz w:val="16"/>
          <w:szCs w:val="16"/>
          <w:lang w:val="es-ES"/>
        </w:rPr>
      </w:pPr>
    </w:p>
    <w:p w14:paraId="5D2F9245" w14:textId="77777777" w:rsidR="00411D4C" w:rsidRDefault="00411D4C" w:rsidP="00C744EC">
      <w:pPr>
        <w:jc w:val="both"/>
        <w:rPr>
          <w:sz w:val="16"/>
          <w:szCs w:val="16"/>
          <w:lang w:val="es-ES"/>
        </w:rPr>
      </w:pPr>
    </w:p>
    <w:p w14:paraId="360A66B2" w14:textId="68B8D8E5" w:rsidR="00C744EC" w:rsidRDefault="00C744EC" w:rsidP="00C744EC">
      <w:pPr>
        <w:pStyle w:val="Prrafodelista"/>
        <w:numPr>
          <w:ilvl w:val="0"/>
          <w:numId w:val="10"/>
        </w:numPr>
        <w:jc w:val="both"/>
        <w:rPr>
          <w:b/>
          <w:bCs/>
          <w:lang w:val="es-ES"/>
        </w:rPr>
      </w:pPr>
      <w:r>
        <w:rPr>
          <w:b/>
          <w:bCs/>
          <w:lang w:val="es-ES"/>
        </w:rPr>
        <w:lastRenderedPageBreak/>
        <w:t>¿</w:t>
      </w:r>
      <w:r w:rsidRPr="00C744EC">
        <w:rPr>
          <w:b/>
          <w:bCs/>
          <w:lang w:val="es-ES"/>
        </w:rPr>
        <w:t>Qué obligaciones deben cumplir las ETFA una vez autorizadas?</w:t>
      </w:r>
    </w:p>
    <w:p w14:paraId="211CFD2A" w14:textId="69E3958C" w:rsidR="00C744EC" w:rsidRDefault="00C744EC" w:rsidP="009B2DD1">
      <w:pPr>
        <w:pStyle w:val="Prrafodelista"/>
        <w:ind w:left="360"/>
        <w:jc w:val="both"/>
        <w:rPr>
          <w:lang w:val="es-ES"/>
        </w:rPr>
      </w:pPr>
      <w:r>
        <w:rPr>
          <w:lang w:val="es-ES"/>
        </w:rPr>
        <w:t>Las ETFA deben cumplir con las obligaciones establecidas en el artículo 15 del D.S.38/2013 MMA (reglamento ETFA)</w:t>
      </w:r>
      <w:r w:rsidR="00CD29B7">
        <w:rPr>
          <w:lang w:val="es-ES"/>
        </w:rPr>
        <w:t xml:space="preserve">, </w:t>
      </w:r>
      <w:r>
        <w:rPr>
          <w:lang w:val="es-ES"/>
        </w:rPr>
        <w:t xml:space="preserve">con las directrices establecidas en las instrucciones de la SMA </w:t>
      </w:r>
      <w:r w:rsidRPr="000F185F">
        <w:rPr>
          <w:lang w:val="es-ES"/>
        </w:rPr>
        <w:t>(</w:t>
      </w:r>
      <w:hyperlink r:id="rId10" w:history="1">
        <w:r w:rsidR="00012CAF" w:rsidRPr="000F185F">
          <w:rPr>
            <w:rStyle w:val="Hipervnculo"/>
            <w:color w:val="auto"/>
            <w:u w:val="none"/>
            <w:lang w:val="es-ES"/>
          </w:rPr>
          <w:t>https://entidadestecnicas.sma.gob.cl/Home/Documentos</w:t>
        </w:r>
      </w:hyperlink>
      <w:r>
        <w:rPr>
          <w:lang w:val="es-ES"/>
        </w:rPr>
        <w:t>)</w:t>
      </w:r>
      <w:r w:rsidR="00CD29B7">
        <w:rPr>
          <w:lang w:val="es-ES"/>
        </w:rPr>
        <w:t xml:space="preserve"> y en las normas ISO para las que estén acreditadas</w:t>
      </w:r>
      <w:r>
        <w:rPr>
          <w:lang w:val="es-ES"/>
        </w:rPr>
        <w:t>.</w:t>
      </w:r>
      <w:r w:rsidR="00012CAF">
        <w:rPr>
          <w:lang w:val="es-ES"/>
        </w:rPr>
        <w:t xml:space="preserve"> </w:t>
      </w:r>
    </w:p>
    <w:p w14:paraId="5AED0DD3" w14:textId="53383C0E" w:rsidR="005516A9" w:rsidRDefault="005516A9" w:rsidP="00C744EC">
      <w:pPr>
        <w:pStyle w:val="Prrafodelista"/>
        <w:jc w:val="both"/>
        <w:rPr>
          <w:lang w:val="es-ES"/>
        </w:rPr>
      </w:pPr>
    </w:p>
    <w:p w14:paraId="2F64CE36" w14:textId="0E24DD25" w:rsidR="005516A9" w:rsidRPr="005516A9" w:rsidRDefault="005516A9" w:rsidP="005516A9">
      <w:pPr>
        <w:pStyle w:val="Prrafodelista"/>
        <w:numPr>
          <w:ilvl w:val="0"/>
          <w:numId w:val="10"/>
        </w:numPr>
        <w:jc w:val="both"/>
        <w:rPr>
          <w:b/>
          <w:bCs/>
          <w:lang w:val="es-ES"/>
        </w:rPr>
      </w:pPr>
      <w:r w:rsidRPr="005516A9">
        <w:rPr>
          <w:b/>
          <w:bCs/>
          <w:lang w:val="es-ES"/>
        </w:rPr>
        <w:t>¿Qué información deben contener los informes de resultados de la ETFA?</w:t>
      </w:r>
    </w:p>
    <w:p w14:paraId="685861C9" w14:textId="77777777" w:rsidR="004D5860" w:rsidRDefault="005516A9" w:rsidP="009B2DD1">
      <w:pPr>
        <w:pStyle w:val="Prrafodelista"/>
        <w:ind w:left="360"/>
        <w:jc w:val="both"/>
        <w:rPr>
          <w:lang w:val="es-ES"/>
        </w:rPr>
      </w:pPr>
      <w:r w:rsidRPr="005516A9">
        <w:rPr>
          <w:lang w:val="es-ES"/>
        </w:rPr>
        <w:t>Los informes de resultados que la ETFA emita deben cumplir con los contenidos establecidos en</w:t>
      </w:r>
      <w:r w:rsidR="004D5860">
        <w:rPr>
          <w:lang w:val="es-ES"/>
        </w:rPr>
        <w:t>:</w:t>
      </w:r>
    </w:p>
    <w:p w14:paraId="5435989B" w14:textId="2B9B77D9" w:rsidR="004D5860" w:rsidRDefault="004D5860" w:rsidP="004D5860">
      <w:pPr>
        <w:pStyle w:val="Prrafodelista"/>
        <w:numPr>
          <w:ilvl w:val="0"/>
          <w:numId w:val="26"/>
        </w:numPr>
        <w:jc w:val="both"/>
        <w:rPr>
          <w:lang w:val="es-ES"/>
        </w:rPr>
      </w:pPr>
      <w:r>
        <w:rPr>
          <w:lang w:val="es-ES"/>
        </w:rPr>
        <w:t>L</w:t>
      </w:r>
      <w:r w:rsidR="005516A9" w:rsidRPr="005516A9">
        <w:rPr>
          <w:lang w:val="es-ES"/>
        </w:rPr>
        <w:t>as directrices de la SMA (resoluciones exentas 574/2022 y 2051/2021</w:t>
      </w:r>
      <w:r>
        <w:rPr>
          <w:lang w:val="es-ES"/>
        </w:rPr>
        <w:t xml:space="preserve"> según corresponda</w:t>
      </w:r>
      <w:r w:rsidR="005516A9" w:rsidRPr="005516A9">
        <w:rPr>
          <w:lang w:val="es-ES"/>
        </w:rPr>
        <w:t xml:space="preserve">: </w:t>
      </w:r>
      <w:hyperlink r:id="rId11" w:history="1">
        <w:r w:rsidR="005516A9" w:rsidRPr="004D5860">
          <w:rPr>
            <w:rStyle w:val="Hipervnculo"/>
            <w:color w:val="auto"/>
            <w:u w:val="none"/>
            <w:lang w:val="es-ES"/>
          </w:rPr>
          <w:t>https://entidadestecnicas.sma.gob.cl/Home/Documentos</w:t>
        </w:r>
      </w:hyperlink>
      <w:r w:rsidR="005516A9" w:rsidRPr="004D5860">
        <w:rPr>
          <w:lang w:val="es-ES"/>
        </w:rPr>
        <w:t>)</w:t>
      </w:r>
      <w:r>
        <w:rPr>
          <w:lang w:val="es-ES"/>
        </w:rPr>
        <w:t xml:space="preserve">, entre los que se incluye informar los resultados </w:t>
      </w:r>
      <w:r w:rsidRPr="0058271E">
        <w:rPr>
          <w:rFonts w:eastAsia="Calibri" w:cs="Calibri"/>
          <w:lang w:eastAsia="es-CL"/>
        </w:rPr>
        <w:t>de la</w:t>
      </w:r>
      <w:r>
        <w:rPr>
          <w:rFonts w:eastAsia="Calibri" w:cs="Calibri"/>
          <w:lang w:eastAsia="es-CL"/>
        </w:rPr>
        <w:t>s</w:t>
      </w:r>
      <w:r w:rsidRPr="0058271E">
        <w:rPr>
          <w:rFonts w:eastAsia="Calibri" w:cs="Calibri"/>
          <w:lang w:eastAsia="es-CL"/>
        </w:rPr>
        <w:t xml:space="preserve"> actividad</w:t>
      </w:r>
      <w:r>
        <w:rPr>
          <w:rFonts w:eastAsia="Calibri" w:cs="Calibri"/>
          <w:lang w:eastAsia="es-CL"/>
        </w:rPr>
        <w:t>es</w:t>
      </w:r>
      <w:r w:rsidRPr="0058271E">
        <w:rPr>
          <w:rFonts w:eastAsia="Calibri" w:cs="Calibri"/>
          <w:lang w:eastAsia="es-CL"/>
        </w:rPr>
        <w:t xml:space="preserve"> con sus respectivas unidades de medida</w:t>
      </w:r>
      <w:r>
        <w:rPr>
          <w:rFonts w:eastAsia="Calibri" w:cs="Calibri"/>
          <w:lang w:eastAsia="es-CL"/>
        </w:rPr>
        <w:t xml:space="preserve"> e</w:t>
      </w:r>
      <w:r w:rsidRPr="0058271E">
        <w:rPr>
          <w:rFonts w:eastAsia="Calibri" w:cs="Calibri"/>
          <w:lang w:eastAsia="es-CL"/>
        </w:rPr>
        <w:t xml:space="preserve"> </w:t>
      </w:r>
      <w:r w:rsidRPr="004D5860">
        <w:rPr>
          <w:rFonts w:eastAsia="Calibri" w:cs="Calibri"/>
          <w:u w:val="single"/>
          <w:lang w:eastAsia="es-CL"/>
        </w:rPr>
        <w:t>identificación de los alcances tal como se encuentran autorizados por la SMA</w:t>
      </w:r>
      <w:r>
        <w:rPr>
          <w:rFonts w:eastAsia="Calibri" w:cs="Calibri"/>
          <w:lang w:eastAsia="es-CL"/>
        </w:rPr>
        <w:t>, entre otros.</w:t>
      </w:r>
    </w:p>
    <w:p w14:paraId="4B504F41" w14:textId="1DED84C7" w:rsidR="004D5860" w:rsidRPr="004D5860" w:rsidRDefault="004D5860" w:rsidP="004D5860">
      <w:pPr>
        <w:pStyle w:val="Prrafodelista"/>
        <w:numPr>
          <w:ilvl w:val="0"/>
          <w:numId w:val="26"/>
        </w:numPr>
        <w:jc w:val="both"/>
        <w:rPr>
          <w:lang w:val="es-ES"/>
        </w:rPr>
      </w:pPr>
      <w:r>
        <w:rPr>
          <w:lang w:val="es-ES"/>
        </w:rPr>
        <w:t>E</w:t>
      </w:r>
      <w:r w:rsidR="005516A9">
        <w:rPr>
          <w:lang w:val="es-ES"/>
        </w:rPr>
        <w:t>l reglamento ETFA</w:t>
      </w:r>
      <w:r>
        <w:rPr>
          <w:lang w:val="es-ES"/>
        </w:rPr>
        <w:t>.</w:t>
      </w:r>
    </w:p>
    <w:p w14:paraId="2842DD5F" w14:textId="2801AE21" w:rsidR="00C744EC" w:rsidRDefault="004D5860" w:rsidP="004D5860">
      <w:pPr>
        <w:pStyle w:val="Prrafodelista"/>
        <w:numPr>
          <w:ilvl w:val="0"/>
          <w:numId w:val="26"/>
        </w:numPr>
        <w:jc w:val="both"/>
        <w:rPr>
          <w:lang w:val="es-ES"/>
        </w:rPr>
      </w:pPr>
      <w:r>
        <w:rPr>
          <w:rFonts w:eastAsia="Calibri" w:cs="Calibri"/>
          <w:lang w:eastAsia="es-CL"/>
        </w:rPr>
        <w:t>E</w:t>
      </w:r>
      <w:r>
        <w:rPr>
          <w:lang w:val="es-ES"/>
        </w:rPr>
        <w:t>n las directrices de las normas ISO para las que estén acreditadas</w:t>
      </w:r>
      <w:r w:rsidR="005516A9">
        <w:rPr>
          <w:lang w:val="es-ES"/>
        </w:rPr>
        <w:t>.</w:t>
      </w:r>
    </w:p>
    <w:p w14:paraId="2D5EAA8A" w14:textId="77777777" w:rsidR="005516A9" w:rsidRPr="005516A9" w:rsidRDefault="005516A9" w:rsidP="00C744EC">
      <w:pPr>
        <w:pStyle w:val="Prrafodelista"/>
        <w:jc w:val="both"/>
        <w:rPr>
          <w:lang w:val="es-ES"/>
        </w:rPr>
      </w:pPr>
    </w:p>
    <w:p w14:paraId="397395FC" w14:textId="77777777" w:rsidR="00AE7CA9" w:rsidRPr="0074330D" w:rsidRDefault="00AE7CA9" w:rsidP="00AE7CA9">
      <w:pPr>
        <w:pStyle w:val="Prrafodelista"/>
        <w:numPr>
          <w:ilvl w:val="0"/>
          <w:numId w:val="10"/>
        </w:numPr>
        <w:jc w:val="both"/>
        <w:rPr>
          <w:b/>
          <w:lang w:val="es-ES"/>
        </w:rPr>
      </w:pPr>
      <w:r w:rsidRPr="0074330D">
        <w:rPr>
          <w:b/>
          <w:lang w:val="es-ES"/>
        </w:rPr>
        <w:t>¿Cuál es el procedimiento y requisitos para ampliar los alcances de la autorización como ETFA?</w:t>
      </w:r>
    </w:p>
    <w:p w14:paraId="2624EBC4" w14:textId="5BCC87A7" w:rsidR="00AE7CA9" w:rsidRDefault="00AE7CA9" w:rsidP="009B2DD1">
      <w:pPr>
        <w:spacing w:after="0"/>
        <w:ind w:left="360"/>
        <w:jc w:val="both"/>
        <w:rPr>
          <w:lang w:val="es-ES"/>
        </w:rPr>
      </w:pPr>
      <w:r>
        <w:rPr>
          <w:lang w:val="es-ES"/>
        </w:rPr>
        <w:t>Estando autorizado</w:t>
      </w:r>
      <w:r w:rsidR="00012CAF">
        <w:rPr>
          <w:lang w:val="es-ES"/>
        </w:rPr>
        <w:t xml:space="preserve"> debe</w:t>
      </w:r>
      <w:r>
        <w:rPr>
          <w:lang w:val="es-ES"/>
        </w:rPr>
        <w:t xml:space="preserve"> presentar los documentos válidos que demuestren que cumple con los requisitos establecidos en la resolución exenta 575/2022 (</w:t>
      </w:r>
      <w:r w:rsidRPr="00AE7CA9">
        <w:rPr>
          <w:lang w:val="es-ES"/>
        </w:rPr>
        <w:t>https://entidadestecnicas.sma.gob.cl/Home/Documentos</w:t>
      </w:r>
      <w:r>
        <w:rPr>
          <w:lang w:val="es-ES"/>
        </w:rPr>
        <w:t>).</w:t>
      </w:r>
    </w:p>
    <w:p w14:paraId="71757666" w14:textId="5F4981A3" w:rsidR="00AE7CA9" w:rsidRDefault="00AE7CA9" w:rsidP="00AE7CA9">
      <w:pPr>
        <w:spacing w:after="0"/>
        <w:ind w:left="708"/>
        <w:jc w:val="both"/>
        <w:rPr>
          <w:lang w:val="es-ES"/>
        </w:rPr>
      </w:pPr>
      <w:r>
        <w:rPr>
          <w:lang w:val="es-ES"/>
        </w:rPr>
        <w:t>Deberá contar con al menos un IA autorizado asociado a los alcances a ampliar.</w:t>
      </w:r>
    </w:p>
    <w:p w14:paraId="424C09BC" w14:textId="77777777" w:rsidR="00AE7CA9" w:rsidRPr="00A03F73" w:rsidRDefault="00AE7CA9" w:rsidP="00AE7CA9">
      <w:pPr>
        <w:spacing w:after="0"/>
        <w:ind w:left="708"/>
        <w:jc w:val="both"/>
        <w:rPr>
          <w:sz w:val="16"/>
          <w:szCs w:val="16"/>
          <w:lang w:val="es-ES"/>
        </w:rPr>
      </w:pPr>
    </w:p>
    <w:p w14:paraId="7A1E53AD" w14:textId="77777777" w:rsidR="00AE7CA9" w:rsidRPr="000A0E1F" w:rsidRDefault="00AE7CA9" w:rsidP="00AE7CA9">
      <w:pPr>
        <w:spacing w:after="0"/>
        <w:ind w:left="708"/>
        <w:jc w:val="both"/>
        <w:rPr>
          <w:sz w:val="10"/>
          <w:szCs w:val="10"/>
          <w:lang w:val="es-ES"/>
        </w:rPr>
      </w:pPr>
    </w:p>
    <w:p w14:paraId="4B324D94" w14:textId="77777777" w:rsidR="00AE7CA9" w:rsidRPr="00936C9D" w:rsidRDefault="00AE7CA9" w:rsidP="00AE7CA9">
      <w:pPr>
        <w:pStyle w:val="Prrafodelista"/>
        <w:numPr>
          <w:ilvl w:val="0"/>
          <w:numId w:val="10"/>
        </w:numPr>
        <w:jc w:val="both"/>
        <w:rPr>
          <w:b/>
          <w:lang w:val="es-ES"/>
        </w:rPr>
      </w:pPr>
      <w:r w:rsidRPr="00936C9D">
        <w:rPr>
          <w:b/>
          <w:lang w:val="es-ES"/>
        </w:rPr>
        <w:t xml:space="preserve">¿Bajo qué normas </w:t>
      </w:r>
      <w:r>
        <w:rPr>
          <w:b/>
          <w:lang w:val="es-ES"/>
        </w:rPr>
        <w:t>ISO se deben acreditar los postulantes a autorización como ETFA</w:t>
      </w:r>
      <w:r w:rsidRPr="00936C9D">
        <w:rPr>
          <w:b/>
          <w:lang w:val="es-ES"/>
        </w:rPr>
        <w:t xml:space="preserve"> en las actividades de muestreo, medición y análisis?</w:t>
      </w:r>
    </w:p>
    <w:p w14:paraId="63D6FA3C" w14:textId="303E8791" w:rsidR="00AE7CA9" w:rsidRDefault="00AE7CA9" w:rsidP="009B2DD1">
      <w:pPr>
        <w:spacing w:after="0"/>
        <w:ind w:left="360"/>
        <w:jc w:val="both"/>
      </w:pPr>
      <w:r w:rsidRPr="00651C62">
        <w:t xml:space="preserve">La aplicación de la norma ISO 17020 </w:t>
      </w:r>
      <w:r>
        <w:t>y/</w:t>
      </w:r>
      <w:r w:rsidRPr="00651C62">
        <w:t>o ISO 17025 para las actividades de muestreo, medición</w:t>
      </w:r>
      <w:r>
        <w:t>,</w:t>
      </w:r>
      <w:r w:rsidRPr="00651C62">
        <w:t xml:space="preserve"> análisis, </w:t>
      </w:r>
      <w:r>
        <w:t xml:space="preserve">inspección y/o verificación, </w:t>
      </w:r>
      <w:r w:rsidRPr="00651C62">
        <w:t xml:space="preserve">depende del modelo de acreditación que establezca el organismo acreditador (INN </w:t>
      </w:r>
      <w:r>
        <w:t xml:space="preserve">en Chile </w:t>
      </w:r>
      <w:r w:rsidRPr="00651C62">
        <w:t xml:space="preserve">u </w:t>
      </w:r>
      <w:r>
        <w:t xml:space="preserve">otro </w:t>
      </w:r>
      <w:r w:rsidRPr="00651C62">
        <w:t xml:space="preserve">organismo </w:t>
      </w:r>
      <w:r>
        <w:t xml:space="preserve">acreditador a nivel </w:t>
      </w:r>
      <w:r w:rsidRPr="00651C62">
        <w:t>internacional). Por ello, la aplicabilidad de ambas normas respecto de las actividades</w:t>
      </w:r>
      <w:r>
        <w:t xml:space="preserve"> de</w:t>
      </w:r>
      <w:r w:rsidRPr="00651C62">
        <w:t xml:space="preserve"> muestreo</w:t>
      </w:r>
      <w:r>
        <w:t>,</w:t>
      </w:r>
      <w:r w:rsidRPr="00651C62">
        <w:t xml:space="preserve"> medición</w:t>
      </w:r>
      <w:r>
        <w:t xml:space="preserve">, </w:t>
      </w:r>
      <w:r w:rsidRPr="00651C62">
        <w:t xml:space="preserve">análisis, </w:t>
      </w:r>
      <w:r>
        <w:t>inspección y/o verificación</w:t>
      </w:r>
      <w:r w:rsidRPr="00651C62">
        <w:t xml:space="preserve">, depende del organismo acreditador que </w:t>
      </w:r>
      <w:r w:rsidR="00CC5E38">
        <w:t>la empresa elija</w:t>
      </w:r>
      <w:r w:rsidRPr="00651C62">
        <w:t xml:space="preserve"> para la acreditación de </w:t>
      </w:r>
      <w:r>
        <w:t>los alcances</w:t>
      </w:r>
      <w:r w:rsidRPr="00651C62">
        <w:t xml:space="preserve"> </w:t>
      </w:r>
      <w:r w:rsidR="005516A9">
        <w:t>que desea postular a autorización</w:t>
      </w:r>
      <w:r>
        <w:t>.</w:t>
      </w:r>
    </w:p>
    <w:p w14:paraId="494AB6F9" w14:textId="77777777" w:rsidR="00AE7CA9" w:rsidRPr="00A03F73" w:rsidRDefault="00AE7CA9" w:rsidP="00AE7CA9">
      <w:pPr>
        <w:spacing w:after="0"/>
        <w:ind w:left="720"/>
        <w:jc w:val="both"/>
        <w:rPr>
          <w:sz w:val="10"/>
          <w:szCs w:val="10"/>
        </w:rPr>
      </w:pPr>
    </w:p>
    <w:p w14:paraId="525A4CDE" w14:textId="77777777" w:rsidR="00AE7CA9" w:rsidRPr="00A03F73" w:rsidRDefault="00AE7CA9" w:rsidP="00AE7CA9">
      <w:pPr>
        <w:spacing w:after="0"/>
        <w:ind w:left="720"/>
        <w:jc w:val="both"/>
        <w:rPr>
          <w:sz w:val="16"/>
          <w:szCs w:val="16"/>
        </w:rPr>
      </w:pPr>
    </w:p>
    <w:p w14:paraId="6D43B564" w14:textId="77777777" w:rsidR="00AE7CA9" w:rsidRPr="0074330D" w:rsidRDefault="00AE7CA9" w:rsidP="00AE7CA9">
      <w:pPr>
        <w:pStyle w:val="Prrafodelista"/>
        <w:numPr>
          <w:ilvl w:val="0"/>
          <w:numId w:val="10"/>
        </w:numPr>
        <w:jc w:val="both"/>
        <w:rPr>
          <w:b/>
          <w:lang w:val="es-ES"/>
        </w:rPr>
      </w:pPr>
      <w:r w:rsidRPr="0074330D">
        <w:rPr>
          <w:b/>
          <w:lang w:val="es-ES"/>
        </w:rPr>
        <w:t>¿Existe alguna relación entre la Boleta de Garantía de 500 UF que solicita la SMA para la autorización de ETFA</w:t>
      </w:r>
      <w:r>
        <w:rPr>
          <w:b/>
          <w:lang w:val="es-ES"/>
        </w:rPr>
        <w:t>,</w:t>
      </w:r>
      <w:r w:rsidRPr="0074330D">
        <w:rPr>
          <w:b/>
          <w:lang w:val="es-ES"/>
        </w:rPr>
        <w:t xml:space="preserve"> y los seguros, fondos o reservas para cubrir responsabilidades derivadas de las operaciones del OEC acreditado bajo la norma ISO 17020</w:t>
      </w:r>
      <w:r>
        <w:rPr>
          <w:b/>
          <w:lang w:val="es-ES"/>
        </w:rPr>
        <w:t>:2012</w:t>
      </w:r>
      <w:r w:rsidRPr="0074330D">
        <w:rPr>
          <w:b/>
          <w:lang w:val="es-ES"/>
        </w:rPr>
        <w:t xml:space="preserve"> en su versión vigente (o norma homologada)?</w:t>
      </w:r>
    </w:p>
    <w:p w14:paraId="5992A7E0" w14:textId="77777777" w:rsidR="00AE7CA9" w:rsidRDefault="00AE7CA9" w:rsidP="009B2DD1">
      <w:pPr>
        <w:spacing w:after="0"/>
        <w:ind w:left="360"/>
        <w:jc w:val="both"/>
        <w:rPr>
          <w:lang w:val="es-ES"/>
        </w:rPr>
      </w:pPr>
      <w:r>
        <w:rPr>
          <w:lang w:val="es-ES"/>
        </w:rPr>
        <w:t xml:space="preserve">La exigencia de la boleta de garantía bancaria que establece la </w:t>
      </w:r>
      <w:r w:rsidRPr="00CB6632">
        <w:rPr>
          <w:lang w:val="es-ES"/>
        </w:rPr>
        <w:t>SMA es</w:t>
      </w:r>
      <w:r>
        <w:rPr>
          <w:lang w:val="es-ES"/>
        </w:rPr>
        <w:t xml:space="preserve"> independiente del requerimiento de seguro, fondo o reserva establecido en la norma ISO 17020:2012. </w:t>
      </w:r>
    </w:p>
    <w:p w14:paraId="6A3F219A" w14:textId="77777777" w:rsidR="00AE7CA9" w:rsidRPr="00A03F73" w:rsidRDefault="00AE7CA9" w:rsidP="00AE7CA9">
      <w:pPr>
        <w:spacing w:after="0"/>
        <w:ind w:left="708"/>
        <w:jc w:val="both"/>
        <w:rPr>
          <w:sz w:val="16"/>
          <w:szCs w:val="16"/>
          <w:lang w:val="es-ES"/>
        </w:rPr>
      </w:pPr>
    </w:p>
    <w:p w14:paraId="12F8F9FF" w14:textId="77777777" w:rsidR="00AE7CA9" w:rsidRPr="00A03F73" w:rsidRDefault="00AE7CA9" w:rsidP="00AE7CA9">
      <w:pPr>
        <w:spacing w:after="0"/>
        <w:ind w:left="708"/>
        <w:jc w:val="both"/>
        <w:rPr>
          <w:sz w:val="10"/>
          <w:szCs w:val="10"/>
          <w:lang w:val="es-ES"/>
        </w:rPr>
      </w:pPr>
    </w:p>
    <w:p w14:paraId="749B786F" w14:textId="33793D83" w:rsidR="00AE7CA9" w:rsidRPr="0074330D" w:rsidRDefault="00AE7CA9" w:rsidP="00AE7CA9">
      <w:pPr>
        <w:pStyle w:val="Prrafodelista"/>
        <w:numPr>
          <w:ilvl w:val="0"/>
          <w:numId w:val="10"/>
        </w:numPr>
        <w:jc w:val="both"/>
        <w:rPr>
          <w:b/>
          <w:lang w:val="es-ES"/>
        </w:rPr>
      </w:pPr>
      <w:r w:rsidRPr="0074330D">
        <w:rPr>
          <w:b/>
          <w:lang w:val="es-ES"/>
        </w:rPr>
        <w:t xml:space="preserve">¿Dónde </w:t>
      </w:r>
      <w:r>
        <w:rPr>
          <w:b/>
          <w:lang w:val="es-ES"/>
        </w:rPr>
        <w:t xml:space="preserve">se </w:t>
      </w:r>
      <w:r w:rsidR="00C744EC">
        <w:rPr>
          <w:b/>
          <w:lang w:val="es-ES"/>
        </w:rPr>
        <w:t>pueden encontrar</w:t>
      </w:r>
      <w:r w:rsidRPr="0074330D">
        <w:rPr>
          <w:b/>
          <w:lang w:val="es-ES"/>
        </w:rPr>
        <w:t xml:space="preserve"> las </w:t>
      </w:r>
      <w:r>
        <w:rPr>
          <w:b/>
          <w:lang w:val="es-ES"/>
        </w:rPr>
        <w:t>ETFA autorizadas por la SMA</w:t>
      </w:r>
      <w:r w:rsidR="00C744EC">
        <w:rPr>
          <w:b/>
          <w:lang w:val="es-ES"/>
        </w:rPr>
        <w:t>,</w:t>
      </w:r>
      <w:r>
        <w:rPr>
          <w:b/>
          <w:lang w:val="es-ES"/>
        </w:rPr>
        <w:t xml:space="preserve"> para las actividades de muestreo, medición, </w:t>
      </w:r>
      <w:r w:rsidRPr="0074330D">
        <w:rPr>
          <w:b/>
          <w:lang w:val="es-ES"/>
        </w:rPr>
        <w:t>análisis</w:t>
      </w:r>
      <w:r>
        <w:rPr>
          <w:b/>
          <w:lang w:val="es-ES"/>
        </w:rPr>
        <w:t>, inspección y/o verificación</w:t>
      </w:r>
      <w:r w:rsidRPr="0074330D">
        <w:rPr>
          <w:b/>
          <w:lang w:val="es-ES"/>
        </w:rPr>
        <w:t>?</w:t>
      </w:r>
    </w:p>
    <w:p w14:paraId="7508D5BA" w14:textId="4A5B02A3" w:rsidR="00C744EC" w:rsidRDefault="00AE7CA9" w:rsidP="009B2DD1">
      <w:pPr>
        <w:spacing w:after="0"/>
        <w:ind w:left="360"/>
        <w:jc w:val="both"/>
      </w:pPr>
      <w:r>
        <w:t xml:space="preserve">Están disponibles en </w:t>
      </w:r>
      <w:r w:rsidR="00C744EC">
        <w:t xml:space="preserve">el registro público </w:t>
      </w:r>
      <w:r w:rsidR="00012CAF">
        <w:t xml:space="preserve">de autorizados </w:t>
      </w:r>
      <w:r w:rsidR="00C744EC">
        <w:t xml:space="preserve">en el sitio web de la SMA, en el que pueden descargar </w:t>
      </w:r>
      <w:r>
        <w:t>archivo</w:t>
      </w:r>
      <w:r w:rsidR="00C744EC">
        <w:t>s</w:t>
      </w:r>
      <w:r>
        <w:t xml:space="preserve"> Excel </w:t>
      </w:r>
      <w:r w:rsidR="00012CAF">
        <w:t>para filtrar</w:t>
      </w:r>
      <w:r w:rsidR="00C744EC">
        <w:t xml:space="preserve"> la información de interés (alcances autorizados por ETFA, o consolidado de todas las autorizaciones</w:t>
      </w:r>
      <w:r w:rsidR="00012CAF">
        <w:t xml:space="preserve"> ETFA e IA)</w:t>
      </w:r>
    </w:p>
    <w:p w14:paraId="43C26CF6" w14:textId="3204355F" w:rsidR="00C744EC" w:rsidRDefault="00C744EC" w:rsidP="009B2DD1">
      <w:pPr>
        <w:spacing w:after="0"/>
        <w:ind w:left="360"/>
        <w:jc w:val="both"/>
      </w:pPr>
      <w:r w:rsidRPr="00C744EC">
        <w:lastRenderedPageBreak/>
        <w:t xml:space="preserve">( </w:t>
      </w:r>
      <w:hyperlink r:id="rId12" w:history="1">
        <w:r w:rsidRPr="00C744EC">
          <w:rPr>
            <w:rStyle w:val="Hipervnculo"/>
            <w:color w:val="auto"/>
            <w:u w:val="none"/>
          </w:rPr>
          <w:t>https://entidadestecnicas.sma.gob.cl/Home/Documentos</w:t>
        </w:r>
      </w:hyperlink>
      <w:r w:rsidRPr="00C744EC">
        <w:t>)</w:t>
      </w:r>
      <w:r w:rsidR="00180143">
        <w:t>.</w:t>
      </w:r>
    </w:p>
    <w:p w14:paraId="66804152" w14:textId="77777777" w:rsidR="009B2DD1" w:rsidRDefault="009B2DD1" w:rsidP="009B2DD1">
      <w:pPr>
        <w:spacing w:after="0"/>
        <w:ind w:left="360"/>
        <w:jc w:val="both"/>
      </w:pPr>
    </w:p>
    <w:p w14:paraId="39A572B0" w14:textId="354202A0" w:rsidR="00AE7CA9" w:rsidRPr="00180143" w:rsidRDefault="009B2DD1" w:rsidP="009B2DD1">
      <w:pPr>
        <w:spacing w:after="0"/>
        <w:jc w:val="both"/>
        <w:rPr>
          <w:rFonts w:cstheme="minorHAnsi"/>
          <w:b/>
          <w:bCs/>
          <w:sz w:val="28"/>
          <w:szCs w:val="28"/>
        </w:rPr>
      </w:pPr>
      <w:r>
        <w:rPr>
          <w:rFonts w:cstheme="minorHAnsi"/>
          <w:b/>
          <w:bCs/>
          <w:color w:val="2E74B5" w:themeColor="accent1" w:themeShade="BF"/>
          <w:sz w:val="28"/>
          <w:szCs w:val="28"/>
        </w:rPr>
        <w:t>II</w:t>
      </w:r>
      <w:r>
        <w:rPr>
          <w:rFonts w:cstheme="minorHAnsi"/>
          <w:b/>
          <w:bCs/>
          <w:color w:val="2E74B5" w:themeColor="accent1" w:themeShade="BF"/>
          <w:sz w:val="28"/>
          <w:szCs w:val="28"/>
        </w:rPr>
        <w:tab/>
      </w:r>
      <w:r w:rsidR="00AE7CA9" w:rsidRPr="00180143">
        <w:rPr>
          <w:rFonts w:cstheme="minorHAnsi"/>
          <w:b/>
          <w:bCs/>
          <w:color w:val="2E74B5" w:themeColor="accent1" w:themeShade="BF"/>
          <w:sz w:val="28"/>
          <w:szCs w:val="28"/>
        </w:rPr>
        <w:t>REFERIDO A LOS INSPECTORES AMBIENTALES (IA)</w:t>
      </w:r>
    </w:p>
    <w:p w14:paraId="40EDFB18" w14:textId="68F2A8AA" w:rsidR="00AE7CA9" w:rsidRPr="00334CDB" w:rsidRDefault="00001E69" w:rsidP="00AE7CA9">
      <w:pPr>
        <w:pStyle w:val="Prrafodelista"/>
        <w:numPr>
          <w:ilvl w:val="0"/>
          <w:numId w:val="2"/>
        </w:numPr>
        <w:jc w:val="both"/>
        <w:rPr>
          <w:b/>
          <w:lang w:val="es-ES"/>
        </w:rPr>
      </w:pPr>
      <w:r>
        <w:rPr>
          <w:b/>
          <w:lang w:val="es-ES"/>
        </w:rPr>
        <w:t>¿</w:t>
      </w:r>
      <w:r w:rsidR="00AE7CA9" w:rsidRPr="00334CDB">
        <w:rPr>
          <w:b/>
          <w:lang w:val="es-ES"/>
        </w:rPr>
        <w:t xml:space="preserve">Un </w:t>
      </w:r>
      <w:r>
        <w:rPr>
          <w:b/>
          <w:lang w:val="es-ES"/>
        </w:rPr>
        <w:t xml:space="preserve">IA </w:t>
      </w:r>
      <w:r w:rsidR="00AE7CA9" w:rsidRPr="00334CDB">
        <w:rPr>
          <w:b/>
          <w:lang w:val="es-ES"/>
        </w:rPr>
        <w:t xml:space="preserve">puede trabajar en varias </w:t>
      </w:r>
      <w:r w:rsidR="00AE7CA9">
        <w:rPr>
          <w:b/>
          <w:lang w:val="es-ES"/>
        </w:rPr>
        <w:t xml:space="preserve">ETFA </w:t>
      </w:r>
      <w:r w:rsidR="00AE7CA9" w:rsidRPr="00334CDB">
        <w:rPr>
          <w:b/>
          <w:lang w:val="es-ES"/>
        </w:rPr>
        <w:t xml:space="preserve">de manera simultánea? ¿La SMA establece alguna restricción o condición </w:t>
      </w:r>
      <w:r w:rsidR="00AE7CA9">
        <w:rPr>
          <w:b/>
          <w:lang w:val="es-ES"/>
        </w:rPr>
        <w:t>respecto de</w:t>
      </w:r>
      <w:r w:rsidR="00AE7CA9" w:rsidRPr="00334CDB">
        <w:rPr>
          <w:b/>
          <w:lang w:val="es-ES"/>
        </w:rPr>
        <w:t xml:space="preserve"> la relación contractual del IA con una o más ETFA?</w:t>
      </w:r>
    </w:p>
    <w:p w14:paraId="04C6A53C" w14:textId="77777777" w:rsidR="00AE7CA9" w:rsidRDefault="00AE7CA9" w:rsidP="009B2DD1">
      <w:pPr>
        <w:spacing w:after="0"/>
        <w:ind w:left="360"/>
        <w:jc w:val="both"/>
      </w:pPr>
      <w:r>
        <w:t>La SMA no establece condiciones ni restricciones a las relaciones contractuales que tenga un IA con las distintas ETFA, ni limita la relación de trabajo de un IA a una o varias ETFA. Sobre este punto, se deben cumplir las condiciones establecidas por las normas ISO correspondientes y los organismos acreditadores respecto de la relación contractual entre la ETFA y su personal.</w:t>
      </w:r>
    </w:p>
    <w:p w14:paraId="53BD9649" w14:textId="77777777" w:rsidR="00AE7CA9" w:rsidRPr="00A03F73" w:rsidRDefault="00AE7CA9" w:rsidP="00AE7CA9">
      <w:pPr>
        <w:pStyle w:val="Prrafodelista"/>
        <w:jc w:val="both"/>
        <w:rPr>
          <w:sz w:val="16"/>
          <w:szCs w:val="16"/>
          <w:lang w:val="es-ES"/>
        </w:rPr>
      </w:pPr>
    </w:p>
    <w:p w14:paraId="2B3B3DCC" w14:textId="62677FD6" w:rsidR="00AE7CA9" w:rsidRPr="000C1B93" w:rsidRDefault="00AE7CA9" w:rsidP="00AE7CA9">
      <w:pPr>
        <w:pStyle w:val="Prrafodelista"/>
        <w:numPr>
          <w:ilvl w:val="0"/>
          <w:numId w:val="2"/>
        </w:numPr>
        <w:jc w:val="both"/>
        <w:rPr>
          <w:b/>
          <w:lang w:val="es-ES"/>
        </w:rPr>
      </w:pPr>
      <w:r>
        <w:rPr>
          <w:b/>
          <w:lang w:val="es-ES"/>
        </w:rPr>
        <w:t>¿</w:t>
      </w:r>
      <w:r w:rsidRPr="000C1B93">
        <w:rPr>
          <w:b/>
          <w:lang w:val="es-ES"/>
        </w:rPr>
        <w:t xml:space="preserve">Cuáles son las responsabilidades </w:t>
      </w:r>
      <w:r w:rsidR="002B3B0F">
        <w:rPr>
          <w:b/>
          <w:lang w:val="es-ES"/>
        </w:rPr>
        <w:t xml:space="preserve">y obligaciones </w:t>
      </w:r>
      <w:r w:rsidRPr="000C1B93">
        <w:rPr>
          <w:b/>
          <w:lang w:val="es-ES"/>
        </w:rPr>
        <w:t xml:space="preserve">del </w:t>
      </w:r>
      <w:r w:rsidR="00001E69">
        <w:rPr>
          <w:b/>
          <w:lang w:val="es-ES"/>
        </w:rPr>
        <w:t>IA</w:t>
      </w:r>
      <w:r w:rsidRPr="000C1B93">
        <w:rPr>
          <w:b/>
          <w:lang w:val="es-ES"/>
        </w:rPr>
        <w:t>?</w:t>
      </w:r>
    </w:p>
    <w:p w14:paraId="1ABE7555" w14:textId="1D823ECF" w:rsidR="00AE7CA9" w:rsidRDefault="00AE7CA9" w:rsidP="009B2DD1">
      <w:pPr>
        <w:pStyle w:val="Prrafodelista"/>
        <w:ind w:left="360"/>
        <w:jc w:val="both"/>
        <w:rPr>
          <w:lang w:val="es-ES"/>
        </w:rPr>
      </w:pPr>
      <w:r>
        <w:rPr>
          <w:lang w:val="es-ES"/>
        </w:rPr>
        <w:t xml:space="preserve">El IA es el responsable de las actividades </w:t>
      </w:r>
      <w:r w:rsidR="00180143">
        <w:rPr>
          <w:lang w:val="es-ES"/>
        </w:rPr>
        <w:t xml:space="preserve">ejecutadas </w:t>
      </w:r>
      <w:r>
        <w:rPr>
          <w:lang w:val="es-ES"/>
        </w:rPr>
        <w:t>tanto en terreno como en las instalaciones de la ETFA</w:t>
      </w:r>
      <w:r w:rsidR="00180143">
        <w:rPr>
          <w:lang w:val="es-ES"/>
        </w:rPr>
        <w:t>, según lo establecido en la</w:t>
      </w:r>
      <w:r w:rsidR="001029D6">
        <w:rPr>
          <w:lang w:val="es-ES"/>
        </w:rPr>
        <w:t>s</w:t>
      </w:r>
      <w:r w:rsidR="00180143">
        <w:rPr>
          <w:lang w:val="es-ES"/>
        </w:rPr>
        <w:t xml:space="preserve"> resoluci</w:t>
      </w:r>
      <w:r w:rsidR="001029D6">
        <w:rPr>
          <w:lang w:val="es-ES"/>
        </w:rPr>
        <w:t>o</w:t>
      </w:r>
      <w:r w:rsidR="00180143">
        <w:rPr>
          <w:lang w:val="es-ES"/>
        </w:rPr>
        <w:t>n</w:t>
      </w:r>
      <w:r w:rsidR="001029D6">
        <w:rPr>
          <w:lang w:val="es-ES"/>
        </w:rPr>
        <w:t>es</w:t>
      </w:r>
      <w:r w:rsidR="00180143">
        <w:rPr>
          <w:lang w:val="es-ES"/>
        </w:rPr>
        <w:t xml:space="preserve"> exenta</w:t>
      </w:r>
      <w:r w:rsidR="001029D6">
        <w:rPr>
          <w:lang w:val="es-ES"/>
        </w:rPr>
        <w:t>s</w:t>
      </w:r>
      <w:r w:rsidR="00180143">
        <w:rPr>
          <w:lang w:val="es-ES"/>
        </w:rPr>
        <w:t xml:space="preserve"> 575/2022 </w:t>
      </w:r>
      <w:r w:rsidR="001029D6">
        <w:rPr>
          <w:lang w:val="es-ES"/>
        </w:rPr>
        <w:t xml:space="preserve">y 574/2022 </w:t>
      </w:r>
      <w:r w:rsidR="00180143" w:rsidRPr="000F185F">
        <w:rPr>
          <w:lang w:val="es-ES"/>
        </w:rPr>
        <w:t>(</w:t>
      </w:r>
      <w:hyperlink r:id="rId13" w:history="1">
        <w:r w:rsidR="00001E69" w:rsidRPr="000F185F">
          <w:rPr>
            <w:rStyle w:val="Hipervnculo"/>
            <w:color w:val="auto"/>
            <w:u w:val="none"/>
            <w:lang w:val="es-ES"/>
          </w:rPr>
          <w:t>https://entidadestecnicas.sma.gob.cl/Home/Documentos</w:t>
        </w:r>
      </w:hyperlink>
      <w:r w:rsidR="00180143">
        <w:rPr>
          <w:lang w:val="es-ES"/>
        </w:rPr>
        <w:t>)</w:t>
      </w:r>
      <w:r w:rsidR="00001E69">
        <w:rPr>
          <w:lang w:val="es-ES"/>
        </w:rPr>
        <w:t xml:space="preserve">, y </w:t>
      </w:r>
      <w:r w:rsidR="002B3B0F">
        <w:rPr>
          <w:lang w:val="es-ES"/>
        </w:rPr>
        <w:t xml:space="preserve">sus obligaciones están establecidas </w:t>
      </w:r>
      <w:r w:rsidR="00001E69">
        <w:rPr>
          <w:lang w:val="es-ES"/>
        </w:rPr>
        <w:t>en el artículo 15 del reglamento ETFA (D.S. 38/2013 MMA)</w:t>
      </w:r>
      <w:r w:rsidR="002B3B0F">
        <w:rPr>
          <w:lang w:val="es-ES"/>
        </w:rPr>
        <w:t>, y además debe cumplir con las directrices de la SMA</w:t>
      </w:r>
      <w:r w:rsidR="00001E69">
        <w:rPr>
          <w:lang w:val="es-ES"/>
        </w:rPr>
        <w:t>.</w:t>
      </w:r>
    </w:p>
    <w:p w14:paraId="17A7F687" w14:textId="77777777" w:rsidR="00AE7CA9" w:rsidRPr="00A03F73" w:rsidRDefault="00AE7CA9" w:rsidP="00AE7CA9">
      <w:pPr>
        <w:pStyle w:val="Prrafodelista"/>
        <w:jc w:val="both"/>
        <w:rPr>
          <w:sz w:val="16"/>
          <w:szCs w:val="16"/>
          <w:lang w:val="es-ES"/>
        </w:rPr>
      </w:pPr>
    </w:p>
    <w:p w14:paraId="21A958CF" w14:textId="77777777" w:rsidR="00AE7CA9" w:rsidRPr="00334CDB" w:rsidRDefault="00AE7CA9" w:rsidP="00AE7CA9">
      <w:pPr>
        <w:pStyle w:val="Prrafodelista"/>
        <w:numPr>
          <w:ilvl w:val="0"/>
          <w:numId w:val="2"/>
        </w:numPr>
        <w:tabs>
          <w:tab w:val="left" w:pos="426"/>
        </w:tabs>
        <w:jc w:val="both"/>
        <w:rPr>
          <w:b/>
          <w:lang w:val="es-ES"/>
        </w:rPr>
      </w:pPr>
      <w:r w:rsidRPr="00334CDB">
        <w:rPr>
          <w:b/>
          <w:lang w:val="es-ES"/>
        </w:rPr>
        <w:t>¿Cuál es el procedimiento y requisitos para ampliar los alcances de la autorización como IA?</w:t>
      </w:r>
    </w:p>
    <w:p w14:paraId="78C0C6C7" w14:textId="6B68E96D" w:rsidR="00AE7CA9" w:rsidRDefault="000F185F" w:rsidP="009B2DD1">
      <w:pPr>
        <w:spacing w:after="0"/>
        <w:ind w:left="360"/>
        <w:jc w:val="both"/>
        <w:rPr>
          <w:lang w:val="es-ES"/>
        </w:rPr>
      </w:pPr>
      <w:r>
        <w:rPr>
          <w:lang w:val="es-ES"/>
        </w:rPr>
        <w:t>El procedimiento para solicitar</w:t>
      </w:r>
      <w:r w:rsidR="00AE7CA9">
        <w:rPr>
          <w:lang w:val="es-ES"/>
        </w:rPr>
        <w:t xml:space="preserve"> una ampliación de los alcances de la autorización está establecido en la</w:t>
      </w:r>
      <w:r w:rsidR="00180143">
        <w:rPr>
          <w:lang w:val="es-ES"/>
        </w:rPr>
        <w:t xml:space="preserve"> resoluci</w:t>
      </w:r>
      <w:r w:rsidR="001029D6">
        <w:rPr>
          <w:lang w:val="es-ES"/>
        </w:rPr>
        <w:t>ón exenta</w:t>
      </w:r>
      <w:r w:rsidR="00180143">
        <w:rPr>
          <w:lang w:val="es-ES"/>
        </w:rPr>
        <w:t xml:space="preserve"> 575/2022 (</w:t>
      </w:r>
      <w:hyperlink r:id="rId14" w:history="1">
        <w:r w:rsidR="00180143" w:rsidRPr="00180143">
          <w:rPr>
            <w:rStyle w:val="Hipervnculo"/>
            <w:color w:val="auto"/>
            <w:u w:val="none"/>
            <w:lang w:val="es-ES"/>
          </w:rPr>
          <w:t>https://entidadestecnicas.sma.gob.cl/Home/Documentos</w:t>
        </w:r>
      </w:hyperlink>
      <w:r w:rsidR="00180143" w:rsidRPr="00180143">
        <w:rPr>
          <w:lang w:val="es-ES"/>
        </w:rPr>
        <w:t xml:space="preserve">). </w:t>
      </w:r>
    </w:p>
    <w:p w14:paraId="61FE150B" w14:textId="6B7A349D" w:rsidR="001029D6" w:rsidRDefault="001029D6" w:rsidP="00AE7CA9">
      <w:pPr>
        <w:spacing w:after="0"/>
        <w:ind w:left="708"/>
        <w:jc w:val="both"/>
        <w:rPr>
          <w:lang w:val="es-ES"/>
        </w:rPr>
      </w:pPr>
    </w:p>
    <w:p w14:paraId="2CC60387" w14:textId="77777777" w:rsidR="00AE7CA9" w:rsidRDefault="00AE7CA9" w:rsidP="009B2DD1">
      <w:pPr>
        <w:spacing w:after="0"/>
        <w:ind w:left="363" w:hanging="363"/>
        <w:jc w:val="both"/>
        <w:rPr>
          <w:b/>
          <w:lang w:val="es-ES"/>
        </w:rPr>
      </w:pPr>
      <w:r w:rsidRPr="00475C86">
        <w:rPr>
          <w:b/>
          <w:lang w:val="es-ES"/>
        </w:rPr>
        <w:t>4.</w:t>
      </w:r>
      <w:r w:rsidRPr="00475C86">
        <w:rPr>
          <w:b/>
          <w:lang w:val="es-ES"/>
        </w:rPr>
        <w:tab/>
      </w:r>
      <w:r>
        <w:rPr>
          <w:b/>
          <w:lang w:val="es-ES"/>
        </w:rPr>
        <w:t>¿El Inspector Ambiental puede ejecutar actividades dentro del marco de su autorización en forma independiente a una ETFA?</w:t>
      </w:r>
    </w:p>
    <w:p w14:paraId="1D37FAC5" w14:textId="20E4F5D0" w:rsidR="00AE7CA9" w:rsidRDefault="00AE7CA9" w:rsidP="009B2DD1">
      <w:pPr>
        <w:shd w:val="clear" w:color="auto" w:fill="FFFFFF"/>
        <w:spacing w:after="0" w:line="240" w:lineRule="auto"/>
        <w:ind w:left="363"/>
        <w:jc w:val="both"/>
        <w:rPr>
          <w:rFonts w:eastAsia="Times New Roman" w:cs="Arial"/>
          <w:iCs/>
          <w:color w:val="222222"/>
          <w:lang w:eastAsia="es-CL"/>
        </w:rPr>
      </w:pPr>
      <w:r w:rsidRPr="00475C86">
        <w:rPr>
          <w:rFonts w:eastAsia="Times New Roman" w:cs="Arial"/>
          <w:iCs/>
          <w:color w:val="222222"/>
          <w:lang w:eastAsia="es-CL"/>
        </w:rPr>
        <w:t>U</w:t>
      </w:r>
      <w:r w:rsidRPr="00475C86">
        <w:rPr>
          <w:rFonts w:eastAsia="Times New Roman" w:cs="Arial"/>
          <w:bCs/>
          <w:iCs/>
          <w:color w:val="222222"/>
          <w:lang w:eastAsia="es-CL"/>
        </w:rPr>
        <w:t>n Inspector Ambiental (IA)</w:t>
      </w:r>
      <w:r w:rsidRPr="00475C86">
        <w:rPr>
          <w:rFonts w:eastAsia="Times New Roman" w:cs="Arial"/>
          <w:iCs/>
          <w:color w:val="222222"/>
          <w:lang w:eastAsia="es-CL"/>
        </w:rPr>
        <w:t> </w:t>
      </w:r>
      <w:r w:rsidRPr="00475C86">
        <w:rPr>
          <w:rFonts w:eastAsia="Times New Roman" w:cs="Arial"/>
          <w:bCs/>
          <w:iCs/>
          <w:color w:val="222222"/>
          <w:lang w:eastAsia="es-CL"/>
        </w:rPr>
        <w:t>puede desarrollar sus actividades</w:t>
      </w:r>
      <w:r w:rsidRPr="00475C86">
        <w:rPr>
          <w:rFonts w:eastAsia="Times New Roman" w:cs="Arial"/>
          <w:iCs/>
          <w:color w:val="222222"/>
          <w:lang w:eastAsia="es-CL"/>
        </w:rPr>
        <w:t> en tal calidad, </w:t>
      </w:r>
      <w:r w:rsidRPr="00180143">
        <w:rPr>
          <w:rFonts w:eastAsia="Times New Roman" w:cs="Arial"/>
          <w:bCs/>
          <w:iCs/>
          <w:color w:val="222222"/>
          <w:u w:val="single"/>
          <w:lang w:eastAsia="es-CL"/>
        </w:rPr>
        <w:t xml:space="preserve">única y </w:t>
      </w:r>
      <w:r w:rsidRPr="002B3B0F">
        <w:rPr>
          <w:rFonts w:eastAsia="Times New Roman" w:cs="Arial"/>
          <w:bCs/>
          <w:iCs/>
          <w:color w:val="222222"/>
          <w:u w:val="single"/>
          <w:lang w:eastAsia="es-CL"/>
        </w:rPr>
        <w:t>exclusivamente</w:t>
      </w:r>
      <w:r w:rsidRPr="002B3B0F">
        <w:rPr>
          <w:rFonts w:eastAsia="Times New Roman" w:cs="Arial"/>
          <w:iCs/>
          <w:color w:val="222222"/>
          <w:u w:val="single"/>
          <w:lang w:eastAsia="es-CL"/>
        </w:rPr>
        <w:t xml:space="preserve"> si se encuentra </w:t>
      </w:r>
      <w:r w:rsidR="00180143" w:rsidRPr="002B3B0F">
        <w:rPr>
          <w:rFonts w:eastAsia="Times New Roman" w:cs="Arial"/>
          <w:iCs/>
          <w:color w:val="222222"/>
          <w:u w:val="single"/>
          <w:lang w:eastAsia="es-CL"/>
        </w:rPr>
        <w:t>asociado a</w:t>
      </w:r>
      <w:r w:rsidRPr="002B3B0F">
        <w:rPr>
          <w:rFonts w:eastAsia="Times New Roman" w:cs="Arial"/>
          <w:bCs/>
          <w:iCs/>
          <w:color w:val="222222"/>
          <w:u w:val="single"/>
          <w:lang w:eastAsia="es-CL"/>
        </w:rPr>
        <w:t xml:space="preserve"> una ETFA</w:t>
      </w:r>
      <w:r w:rsidRPr="00475C86">
        <w:rPr>
          <w:rFonts w:eastAsia="Times New Roman" w:cs="Arial"/>
          <w:iCs/>
          <w:color w:val="222222"/>
          <w:lang w:eastAsia="es-CL"/>
        </w:rPr>
        <w:t>, debiendo para ello estar incluido en el registro público en el sitio web de la SMA. </w:t>
      </w:r>
    </w:p>
    <w:p w14:paraId="0AB6E1FD" w14:textId="77777777" w:rsidR="001029D6" w:rsidRDefault="001029D6" w:rsidP="00AE7CA9">
      <w:pPr>
        <w:shd w:val="clear" w:color="auto" w:fill="FFFFFF"/>
        <w:spacing w:after="0" w:line="240" w:lineRule="auto"/>
        <w:ind w:left="708"/>
        <w:jc w:val="both"/>
        <w:rPr>
          <w:rFonts w:eastAsia="Times New Roman" w:cs="Arial"/>
          <w:iCs/>
          <w:color w:val="222222"/>
          <w:lang w:eastAsia="es-CL"/>
        </w:rPr>
      </w:pPr>
    </w:p>
    <w:p w14:paraId="7D7E4174" w14:textId="04B06DEC" w:rsidR="00C8769C" w:rsidRPr="002A78DB" w:rsidRDefault="001029D6" w:rsidP="009B2DD1">
      <w:pPr>
        <w:pStyle w:val="Ttulo1"/>
        <w:numPr>
          <w:ilvl w:val="0"/>
          <w:numId w:val="0"/>
        </w:numPr>
        <w:jc w:val="both"/>
      </w:pPr>
      <w:r>
        <w:t>III</w:t>
      </w:r>
      <w:r>
        <w:tab/>
      </w:r>
      <w:r w:rsidR="00C8769C" w:rsidRPr="002A78DB">
        <w:t xml:space="preserve">REFERIDO A LOS </w:t>
      </w:r>
      <w:r w:rsidR="00C8769C">
        <w:t>TITULARES DE PROYECTOS</w:t>
      </w:r>
    </w:p>
    <w:p w14:paraId="4258ADCC" w14:textId="202570FB" w:rsidR="00777DEE" w:rsidRDefault="00777DEE" w:rsidP="0045573D">
      <w:pPr>
        <w:pStyle w:val="Prrafodelista"/>
        <w:numPr>
          <w:ilvl w:val="0"/>
          <w:numId w:val="13"/>
        </w:numPr>
        <w:jc w:val="both"/>
        <w:rPr>
          <w:b/>
        </w:rPr>
      </w:pPr>
      <w:r>
        <w:rPr>
          <w:b/>
        </w:rPr>
        <w:t>¿Los titulares de proyectos están obligados a contratar a ETFA?</w:t>
      </w:r>
    </w:p>
    <w:p w14:paraId="1E97DA81" w14:textId="369A9A30" w:rsidR="00777DEE" w:rsidRPr="00777DEE" w:rsidRDefault="00777DEE" w:rsidP="009B2DD1">
      <w:pPr>
        <w:pStyle w:val="Prrafodelista"/>
        <w:overflowPunct w:val="0"/>
        <w:autoSpaceDE w:val="0"/>
        <w:autoSpaceDN w:val="0"/>
        <w:adjustRightInd w:val="0"/>
        <w:spacing w:after="120" w:line="276" w:lineRule="auto"/>
        <w:ind w:left="360"/>
        <w:jc w:val="both"/>
        <w:rPr>
          <w:rFonts w:eastAsia="Times New Roman" w:cs="Arial"/>
        </w:rPr>
      </w:pPr>
      <w:r w:rsidRPr="00777DEE">
        <w:rPr>
          <w:rFonts w:eastAsia="Times New Roman" w:cs="Arial"/>
        </w:rPr>
        <w:t xml:space="preserve">De conformidad al artículo 21 del reglamento, el titular de un proyecto, sistema, actividad o fuente para dar cumplimiento a una normativa ambiental, general o específica, que le obliga a realizar mediciones, análisis, incluido el muestreo, deberá contratar a una </w:t>
      </w:r>
      <w:r>
        <w:rPr>
          <w:rFonts w:eastAsia="Times New Roman" w:cs="Arial"/>
        </w:rPr>
        <w:t xml:space="preserve">ETFA </w:t>
      </w:r>
      <w:r w:rsidRPr="00777DEE">
        <w:rPr>
          <w:rFonts w:eastAsia="Times New Roman" w:cs="Arial"/>
        </w:rPr>
        <w:t>con autorización vigente, para realizar dichas actividades. Los muestreos, mediciones, y análisis deberán constar en un informe de resultados, cuyo contenido mínimo ha sido regulado por la SMA en el documento “Instrucción de carácter general que establece directrices generales para la operatividad de las entidades técnicas de fiscalización ambiental”</w:t>
      </w:r>
      <w:r w:rsidR="00970089">
        <w:rPr>
          <w:rFonts w:eastAsia="Times New Roman" w:cs="Arial"/>
        </w:rPr>
        <w:t xml:space="preserve"> (</w:t>
      </w:r>
      <w:r w:rsidR="00970089" w:rsidRPr="00970089">
        <w:rPr>
          <w:rFonts w:eastAsia="Times New Roman" w:cs="Arial"/>
        </w:rPr>
        <w:t>https://entidadestecnicas.sma.gob.cl/Home/Documentos</w:t>
      </w:r>
      <w:r w:rsidR="00970089">
        <w:rPr>
          <w:rFonts w:eastAsia="Times New Roman" w:cs="Arial"/>
        </w:rPr>
        <w:t>)</w:t>
      </w:r>
      <w:r w:rsidRPr="00777DEE">
        <w:rPr>
          <w:rFonts w:eastAsia="Times New Roman" w:cs="Arial"/>
        </w:rPr>
        <w:t>.</w:t>
      </w:r>
    </w:p>
    <w:p w14:paraId="42A659E2" w14:textId="277D3AF1" w:rsidR="00777DEE" w:rsidRPr="00777DEE" w:rsidRDefault="00777DEE" w:rsidP="009B2DD1">
      <w:pPr>
        <w:pStyle w:val="Prrafodelista"/>
        <w:overflowPunct w:val="0"/>
        <w:autoSpaceDE w:val="0"/>
        <w:autoSpaceDN w:val="0"/>
        <w:adjustRightInd w:val="0"/>
        <w:spacing w:after="120" w:line="276" w:lineRule="auto"/>
        <w:ind w:left="360"/>
        <w:jc w:val="both"/>
        <w:rPr>
          <w:rFonts w:eastAsia="Times New Roman" w:cs="Arial"/>
        </w:rPr>
      </w:pPr>
      <w:r w:rsidRPr="00777DEE">
        <w:rPr>
          <w:rFonts w:eastAsia="Times New Roman" w:cs="Arial"/>
        </w:rPr>
        <w:t xml:space="preserve">Asimismo, los muestreos, mediciones, análisis, inspecciones o verificaciones que se requieran para la realización de los informes de seguimiento o reportes periódicos de cumplimiento que deben entregarse a la </w:t>
      </w:r>
      <w:r w:rsidR="00970089">
        <w:rPr>
          <w:rFonts w:eastAsia="Times New Roman" w:cs="Arial"/>
        </w:rPr>
        <w:t>SMA</w:t>
      </w:r>
      <w:r w:rsidRPr="00777DEE">
        <w:rPr>
          <w:rFonts w:eastAsia="Times New Roman" w:cs="Arial"/>
        </w:rPr>
        <w:t xml:space="preserve">, en su calidad de autoridad fiscalizadora ambiental, deben ser </w:t>
      </w:r>
      <w:r w:rsidRPr="00777DEE">
        <w:rPr>
          <w:rFonts w:eastAsia="Times New Roman" w:cs="Arial"/>
        </w:rPr>
        <w:lastRenderedPageBreak/>
        <w:t xml:space="preserve">realizados por una ETFA. El mismo criterio se aplicará a los programas de cumplimiento; planes de reparación; planes de compensación o medidas provisionales, entre otros. </w:t>
      </w:r>
    </w:p>
    <w:p w14:paraId="36492A93" w14:textId="6B0F3B09" w:rsidR="00C8769C" w:rsidRPr="00DF1FBB" w:rsidRDefault="00C8769C" w:rsidP="0045573D">
      <w:pPr>
        <w:pStyle w:val="Prrafodelista"/>
        <w:numPr>
          <w:ilvl w:val="0"/>
          <w:numId w:val="13"/>
        </w:numPr>
        <w:jc w:val="both"/>
        <w:rPr>
          <w:b/>
        </w:rPr>
      </w:pPr>
      <w:r w:rsidRPr="00DF1FBB">
        <w:rPr>
          <w:b/>
        </w:rPr>
        <w:t xml:space="preserve">¿Qué empresas o laboratorios debe contratar </w:t>
      </w:r>
      <w:r>
        <w:rPr>
          <w:b/>
        </w:rPr>
        <w:t>un titular</w:t>
      </w:r>
      <w:r w:rsidRPr="00DF1FBB">
        <w:rPr>
          <w:b/>
        </w:rPr>
        <w:t xml:space="preserve"> para desarrollar las actividades d</w:t>
      </w:r>
      <w:r>
        <w:rPr>
          <w:b/>
        </w:rPr>
        <w:t>e muestreo, medición</w:t>
      </w:r>
      <w:r w:rsidR="00CA0FBC">
        <w:rPr>
          <w:b/>
        </w:rPr>
        <w:t>,</w:t>
      </w:r>
      <w:r>
        <w:rPr>
          <w:b/>
        </w:rPr>
        <w:t xml:space="preserve"> análisis, </w:t>
      </w:r>
      <w:r w:rsidR="00CA0FBC">
        <w:rPr>
          <w:b/>
        </w:rPr>
        <w:t xml:space="preserve">inspección y/o verificación </w:t>
      </w:r>
      <w:r w:rsidRPr="00DF1FBB">
        <w:rPr>
          <w:b/>
        </w:rPr>
        <w:t>de manera de dar cumplimiento a sus obligaciones en materia ambiental?</w:t>
      </w:r>
    </w:p>
    <w:p w14:paraId="1B292F64" w14:textId="298B963C" w:rsidR="00C866FC" w:rsidRPr="00A03F73" w:rsidRDefault="00C8769C" w:rsidP="009B2DD1">
      <w:pPr>
        <w:spacing w:after="0"/>
        <w:ind w:left="360"/>
        <w:jc w:val="both"/>
        <w:rPr>
          <w:sz w:val="10"/>
          <w:szCs w:val="10"/>
        </w:rPr>
      </w:pPr>
      <w:r>
        <w:t>Todo titular de proyecto que deba desarrollar actividades de muestreo, medición</w:t>
      </w:r>
      <w:r w:rsidR="002C6B0C">
        <w:t>,</w:t>
      </w:r>
      <w:r>
        <w:t xml:space="preserve"> análisis, </w:t>
      </w:r>
      <w:r w:rsidR="002C6B0C">
        <w:t xml:space="preserve">inspección y/o verificación, </w:t>
      </w:r>
      <w:r>
        <w:t xml:space="preserve">deberá contratar a una ETFA, que cuente con autorización vigente en los alcances correspondientes a la actividad que debe informar. </w:t>
      </w:r>
      <w:r w:rsidR="000F185F">
        <w:t xml:space="preserve">Mediante el siguiente </w:t>
      </w:r>
      <w:proofErr w:type="gramStart"/>
      <w:r w:rsidR="000F185F">
        <w:t>link</w:t>
      </w:r>
      <w:proofErr w:type="gramEnd"/>
      <w:r w:rsidR="000F185F">
        <w:t xml:space="preserve"> se accede al registro público de autorizaciones</w:t>
      </w:r>
      <w:r w:rsidR="0083089C">
        <w:t xml:space="preserve">: </w:t>
      </w:r>
      <w:r w:rsidR="000F185F">
        <w:t xml:space="preserve"> </w:t>
      </w:r>
      <w:r w:rsidR="000F185F" w:rsidRPr="000F185F">
        <w:t>https://entidadestecnicas.sma.gob.cl/Sucursal/RegistroPublico</w:t>
      </w:r>
      <w:r w:rsidR="0083089C">
        <w:t>.</w:t>
      </w:r>
    </w:p>
    <w:p w14:paraId="160BD264" w14:textId="77777777" w:rsidR="00A03F73" w:rsidRPr="00A03F73" w:rsidRDefault="00A03F73" w:rsidP="0045573D">
      <w:pPr>
        <w:spacing w:after="0"/>
        <w:ind w:left="708"/>
        <w:jc w:val="both"/>
        <w:rPr>
          <w:sz w:val="10"/>
          <w:szCs w:val="10"/>
        </w:rPr>
      </w:pPr>
    </w:p>
    <w:p w14:paraId="5E930F9B" w14:textId="77777777" w:rsidR="00C8769C" w:rsidRDefault="00C8769C" w:rsidP="0045573D">
      <w:pPr>
        <w:pStyle w:val="Prrafodelista"/>
        <w:numPr>
          <w:ilvl w:val="0"/>
          <w:numId w:val="13"/>
        </w:numPr>
        <w:jc w:val="both"/>
        <w:rPr>
          <w:b/>
        </w:rPr>
      </w:pPr>
      <w:r w:rsidRPr="00D86221">
        <w:rPr>
          <w:b/>
        </w:rPr>
        <w:t xml:space="preserve">¿Qué ocurre si una </w:t>
      </w:r>
      <w:r w:rsidR="00CA0FBC">
        <w:rPr>
          <w:b/>
        </w:rPr>
        <w:t xml:space="preserve">actividad de muestreo, medición, análisis, inspección y/o verificación </w:t>
      </w:r>
      <w:r w:rsidRPr="00D86221">
        <w:rPr>
          <w:b/>
        </w:rPr>
        <w:t>no es parte de los alcances de las ETFA autorizadas por la SMA? ¿A quién debe contratar un titular de proyecto?</w:t>
      </w:r>
    </w:p>
    <w:p w14:paraId="3BE83CF6" w14:textId="276E8C6E" w:rsidR="0083089C" w:rsidRDefault="0083089C" w:rsidP="009B2DD1">
      <w:pPr>
        <w:pStyle w:val="Prrafodelista"/>
        <w:ind w:left="360"/>
        <w:jc w:val="both"/>
        <w:rPr>
          <w:rFonts w:eastAsia="Calibri" w:cs="Calibri"/>
          <w:lang w:eastAsia="es-CL"/>
        </w:rPr>
      </w:pPr>
      <w:r w:rsidRPr="0083089C">
        <w:rPr>
          <w:rFonts w:eastAsia="Calibri" w:cs="Calibri"/>
          <w:lang w:eastAsia="es-CL"/>
        </w:rPr>
        <w:t>En todos aquellos casos en que no exista un alcance autorizado por la SMA, las actividades de muestreo, medición, análisis, inspección y/o verificación, según corresponda, relativas a alcances no autorizados podrán ser ejecutadas por cualquier empresa que cuente con acreditación vigente con el Instituto Nacional de Normalización o la entidad que la suceda, o con algún organismo de acreditación internacional reconocido por la Cooperación Internacional de Acreditación de Laboratorios (ILAC) para las actividades correspondientes.</w:t>
      </w:r>
    </w:p>
    <w:p w14:paraId="20004C77" w14:textId="4682248E" w:rsidR="0083089C" w:rsidRDefault="0083089C" w:rsidP="0083089C">
      <w:pPr>
        <w:pStyle w:val="Prrafodelista"/>
        <w:jc w:val="both"/>
        <w:rPr>
          <w:rFonts w:eastAsia="Calibri" w:cs="Calibri"/>
          <w:lang w:eastAsia="es-CL"/>
        </w:rPr>
      </w:pPr>
    </w:p>
    <w:p w14:paraId="5A6423CC" w14:textId="142B7419" w:rsidR="00C866FC" w:rsidRDefault="0083089C" w:rsidP="009B2DD1">
      <w:pPr>
        <w:pStyle w:val="Prrafodelista"/>
        <w:ind w:left="360"/>
        <w:jc w:val="both"/>
        <w:rPr>
          <w:rFonts w:eastAsia="Calibri" w:cs="Calibri"/>
          <w:lang w:eastAsia="es-CL"/>
        </w:rPr>
      </w:pPr>
      <w:r w:rsidRPr="0083089C">
        <w:rPr>
          <w:rFonts w:eastAsia="Calibri" w:cs="Calibri"/>
          <w:lang w:eastAsia="es-CL"/>
        </w:rPr>
        <w:t>De no existir ninguna entidad que cumpla con lo establecido en los párrafos precedentes, el titular podrá ejecutar tales actividades con alguna persona jurídica o natural, externa al titular, que preste el servicio</w:t>
      </w:r>
      <w:r>
        <w:rPr>
          <w:rFonts w:eastAsia="Calibri" w:cs="Calibri"/>
          <w:lang w:eastAsia="es-CL"/>
        </w:rPr>
        <w:t xml:space="preserve"> (Resolución exenta 57</w:t>
      </w:r>
      <w:r w:rsidR="00DF4E18">
        <w:rPr>
          <w:rFonts w:eastAsia="Calibri" w:cs="Calibri"/>
          <w:lang w:eastAsia="es-CL"/>
        </w:rPr>
        <w:t>3</w:t>
      </w:r>
      <w:r>
        <w:rPr>
          <w:rFonts w:eastAsia="Calibri" w:cs="Calibri"/>
          <w:lang w:eastAsia="es-CL"/>
        </w:rPr>
        <w:t>/2022</w:t>
      </w:r>
      <w:r w:rsidR="00DF4E18">
        <w:rPr>
          <w:rFonts w:eastAsia="Calibri" w:cs="Calibri"/>
          <w:lang w:eastAsia="es-CL"/>
        </w:rPr>
        <w:t xml:space="preserve">: </w:t>
      </w:r>
      <w:r w:rsidR="00DF4E18" w:rsidRPr="00DF4E18">
        <w:rPr>
          <w:rFonts w:eastAsia="Calibri" w:cs="Calibri"/>
          <w:lang w:eastAsia="es-CL"/>
        </w:rPr>
        <w:t>https://entidadestecnicas.sma.gob.cl/Home/Documentos</w:t>
      </w:r>
      <w:r>
        <w:rPr>
          <w:rFonts w:eastAsia="Calibri" w:cs="Calibri"/>
          <w:lang w:eastAsia="es-CL"/>
        </w:rPr>
        <w:t>).</w:t>
      </w:r>
    </w:p>
    <w:p w14:paraId="53859E09" w14:textId="77777777" w:rsidR="0083089C" w:rsidRPr="0083089C" w:rsidRDefault="0083089C" w:rsidP="0083089C">
      <w:pPr>
        <w:pStyle w:val="Prrafodelista"/>
        <w:jc w:val="both"/>
        <w:rPr>
          <w:lang w:val="es-ES"/>
        </w:rPr>
      </w:pPr>
    </w:p>
    <w:p w14:paraId="4EBE37A1" w14:textId="3EB121BD" w:rsidR="00CC1CDE" w:rsidRPr="00E11B39" w:rsidRDefault="00CC1CDE" w:rsidP="00CC1CDE">
      <w:pPr>
        <w:pStyle w:val="Prrafodelista"/>
        <w:numPr>
          <w:ilvl w:val="0"/>
          <w:numId w:val="13"/>
        </w:numPr>
        <w:jc w:val="both"/>
        <w:rPr>
          <w:b/>
        </w:rPr>
      </w:pPr>
      <w:r w:rsidRPr="00E11B39">
        <w:rPr>
          <w:b/>
        </w:rPr>
        <w:t>¿Qué debe hacer u</w:t>
      </w:r>
      <w:r w:rsidR="00C02288" w:rsidRPr="00E11B39">
        <w:rPr>
          <w:b/>
        </w:rPr>
        <w:t xml:space="preserve">n titular de proyecto si </w:t>
      </w:r>
      <w:r w:rsidR="00BB3939">
        <w:rPr>
          <w:b/>
        </w:rPr>
        <w:t>la(s) ETFA autorizada(s) en los alcances que requiere, no ofrece(n) cobertura o tiene(n) falta de capacidad</w:t>
      </w:r>
      <w:r w:rsidR="00C02288" w:rsidRPr="00E11B39">
        <w:rPr>
          <w:b/>
        </w:rPr>
        <w:t xml:space="preserve"> para abordar sus compromisos</w:t>
      </w:r>
      <w:r w:rsidR="00BB3939">
        <w:rPr>
          <w:b/>
        </w:rPr>
        <w:t xml:space="preserve"> ambientales</w:t>
      </w:r>
      <w:r w:rsidR="00C02288" w:rsidRPr="00E11B39">
        <w:rPr>
          <w:b/>
        </w:rPr>
        <w:t>?</w:t>
      </w:r>
    </w:p>
    <w:p w14:paraId="31A8BC4D" w14:textId="4C3AA10C" w:rsidR="00BB3939" w:rsidRPr="00BB3939" w:rsidRDefault="00BB3939" w:rsidP="009B2DD1">
      <w:pPr>
        <w:pStyle w:val="Prrafodelista"/>
        <w:ind w:left="360"/>
        <w:jc w:val="both"/>
        <w:rPr>
          <w:rFonts w:cstheme="minorHAnsi"/>
        </w:rPr>
      </w:pPr>
      <w:r w:rsidRPr="00BB3939">
        <w:rPr>
          <w:rFonts w:cstheme="minorHAnsi"/>
        </w:rPr>
        <w:t xml:space="preserve">Los </w:t>
      </w:r>
      <w:r w:rsidRPr="00BB3939">
        <w:rPr>
          <w:rFonts w:eastAsia="Times New Roman" w:cs="Arial"/>
          <w:lang w:val="es-ES"/>
        </w:rPr>
        <w:t xml:space="preserve">titulares de un proyecto, sistema, actividad o fuente, </w:t>
      </w:r>
      <w:r w:rsidRPr="00BB3939">
        <w:rPr>
          <w:rFonts w:cstheme="minorHAnsi"/>
        </w:rPr>
        <w:t>que se encuentren frente a una falta de capacidad de todas las ETFA autorizadas a nivel país en los alcances requeridos para el cumplimiento de los compromisos establecidos en algún instrumento de carácter ambiental, que sean de competencia de esta superintendencia, deben de igual manera ejecutar las actividades de muestreo, medición, análisis, inspección y/o verificación comprometidas, siguiendo la misma directriz indicada en el numeral precedente. De la misma manera, la ETFA que no pueda ofrecer cobertura para prestar el servicio, por ejemplo, en zonas extremas del país con difícil acceso, deberá dar respuesta escrita y oportuna al titular.</w:t>
      </w:r>
    </w:p>
    <w:p w14:paraId="314CB043" w14:textId="77777777" w:rsidR="00BB3939" w:rsidRPr="00BB3939" w:rsidRDefault="00BB3939" w:rsidP="00BB3939">
      <w:pPr>
        <w:pStyle w:val="Prrafodelista"/>
        <w:spacing w:line="276" w:lineRule="auto"/>
        <w:jc w:val="both"/>
        <w:rPr>
          <w:rFonts w:cstheme="minorHAnsi"/>
          <w:sz w:val="10"/>
          <w:szCs w:val="10"/>
        </w:rPr>
      </w:pPr>
    </w:p>
    <w:p w14:paraId="6612CF75" w14:textId="77777777" w:rsidR="00BB3939" w:rsidRPr="00BB3939" w:rsidRDefault="00BB3939" w:rsidP="009B2DD1">
      <w:pPr>
        <w:pStyle w:val="Prrafodelista"/>
        <w:ind w:left="360"/>
        <w:jc w:val="both"/>
        <w:rPr>
          <w:rFonts w:cstheme="minorHAnsi"/>
        </w:rPr>
      </w:pPr>
      <w:r w:rsidRPr="00BB3939">
        <w:rPr>
          <w:rFonts w:cstheme="minorHAnsi"/>
        </w:rPr>
        <w:t>Además, los titulares deberán informar esta situación en el informe de seguimiento o en el informe o reporte que corresponda a su compromiso ambiental y adjuntar los antecedentes que avalen la falta de capacidad de todas las ETFA autorizadas a nivel país en los alcances requeridos, incluyendo los documentos entregados por éstas</w:t>
      </w:r>
      <w:r w:rsidRPr="00BB3939">
        <w:rPr>
          <w:rFonts w:cstheme="minorHAnsi"/>
          <w:i/>
          <w:iCs/>
        </w:rPr>
        <w:t xml:space="preserve">. </w:t>
      </w:r>
      <w:r w:rsidRPr="00BB3939">
        <w:rPr>
          <w:rFonts w:cstheme="minorHAnsi"/>
        </w:rPr>
        <w:t>Es obligación de la(s) ETFA que no tenga(n) la capacidad puntual para cumplir con las actividades solicitadas por un titular, dar respuesta escrita al titular en la que dé cuenta esa falta de capacidad para prestar el servicio en forma oportuna. Con esta información, la SMA podrá fiscalizar a las entidades involucradas, para comprobar la falta de capacidad para prestar el servicio específico.</w:t>
      </w:r>
    </w:p>
    <w:p w14:paraId="7AADA287" w14:textId="77777777" w:rsidR="00BB3939" w:rsidRPr="00BB3939" w:rsidRDefault="00BB3939" w:rsidP="00BB3939">
      <w:pPr>
        <w:pStyle w:val="Prrafodelista"/>
        <w:spacing w:line="276" w:lineRule="auto"/>
        <w:jc w:val="both"/>
        <w:rPr>
          <w:rFonts w:cstheme="minorHAnsi"/>
          <w:sz w:val="10"/>
          <w:szCs w:val="10"/>
        </w:rPr>
      </w:pPr>
    </w:p>
    <w:p w14:paraId="72410BE0" w14:textId="5C77E358" w:rsidR="00BB3939" w:rsidRPr="00BB3939" w:rsidRDefault="00BB3939" w:rsidP="009B2DD1">
      <w:pPr>
        <w:pStyle w:val="Prrafodelista"/>
        <w:spacing w:line="276" w:lineRule="auto"/>
        <w:ind w:left="360"/>
        <w:jc w:val="both"/>
        <w:rPr>
          <w:rFonts w:cstheme="minorHAnsi"/>
        </w:rPr>
      </w:pPr>
      <w:r w:rsidRPr="00BB3939">
        <w:rPr>
          <w:rFonts w:cstheme="minorHAnsi"/>
        </w:rPr>
        <w:t>Todos estos antecedentes serán analizados por parte de la superintendencia en su mérito y en la oportunidad que corresponda</w:t>
      </w:r>
      <w:r w:rsidR="00DF4E18">
        <w:rPr>
          <w:rFonts w:cstheme="minorHAnsi"/>
        </w:rPr>
        <w:t xml:space="preserve"> </w:t>
      </w:r>
      <w:r w:rsidR="00DF4E18">
        <w:rPr>
          <w:rFonts w:eastAsia="Calibri" w:cs="Calibri"/>
          <w:lang w:eastAsia="es-CL"/>
        </w:rPr>
        <w:t xml:space="preserve">(Resolución exenta 573/2022: </w:t>
      </w:r>
      <w:r w:rsidR="00DF4E18" w:rsidRPr="00DF4E18">
        <w:rPr>
          <w:rFonts w:eastAsia="Calibri" w:cs="Calibri"/>
          <w:lang w:eastAsia="es-CL"/>
        </w:rPr>
        <w:t>https://entidadestecnicas.sma.gob.cl/Home/Documentos</w:t>
      </w:r>
      <w:r w:rsidR="00DF4E18">
        <w:rPr>
          <w:rFonts w:eastAsia="Calibri" w:cs="Calibri"/>
          <w:lang w:eastAsia="es-CL"/>
        </w:rPr>
        <w:t>).</w:t>
      </w:r>
    </w:p>
    <w:p w14:paraId="3F228E7D" w14:textId="77777777" w:rsidR="00A03F73" w:rsidRPr="00A03F73" w:rsidRDefault="00A03F73" w:rsidP="00562768">
      <w:pPr>
        <w:ind w:left="708"/>
        <w:jc w:val="both"/>
        <w:rPr>
          <w:sz w:val="10"/>
          <w:szCs w:val="10"/>
        </w:rPr>
      </w:pPr>
    </w:p>
    <w:p w14:paraId="0C766EB3" w14:textId="2FA1666F" w:rsidR="001D3BAD" w:rsidRPr="00BB3939" w:rsidRDefault="001D3BAD" w:rsidP="00BB3939">
      <w:pPr>
        <w:pStyle w:val="Prrafodelista"/>
        <w:numPr>
          <w:ilvl w:val="0"/>
          <w:numId w:val="13"/>
        </w:numPr>
        <w:jc w:val="both"/>
        <w:rPr>
          <w:b/>
        </w:rPr>
      </w:pPr>
      <w:r w:rsidRPr="00BB3939">
        <w:rPr>
          <w:b/>
        </w:rPr>
        <w:t>¿Quién debe elaborar el informe de seguimiento</w:t>
      </w:r>
      <w:r w:rsidR="00BB3939">
        <w:rPr>
          <w:b/>
        </w:rPr>
        <w:t xml:space="preserve"> o reporte de cumplimiento </w:t>
      </w:r>
      <w:r w:rsidRPr="00BB3939">
        <w:rPr>
          <w:b/>
        </w:rPr>
        <w:t>que se reporta a la SMA?</w:t>
      </w:r>
    </w:p>
    <w:p w14:paraId="36818EA3" w14:textId="11AE8474" w:rsidR="00FC394B" w:rsidRDefault="001D3BAD" w:rsidP="009B2DD1">
      <w:pPr>
        <w:spacing w:after="0"/>
        <w:ind w:left="360"/>
        <w:jc w:val="both"/>
      </w:pPr>
      <w:r>
        <w:t xml:space="preserve">El informe de seguimiento </w:t>
      </w:r>
      <w:r w:rsidR="00BB3939">
        <w:t xml:space="preserve">o reporte de cumplimiento </w:t>
      </w:r>
      <w:r>
        <w:t xml:space="preserve">que el titular debe reportar a </w:t>
      </w:r>
      <w:r w:rsidR="00970089">
        <w:t xml:space="preserve">la </w:t>
      </w:r>
      <w:proofErr w:type="gramStart"/>
      <w:r w:rsidR="00970089">
        <w:t>SMA</w:t>
      </w:r>
      <w:r>
        <w:t>,</w:t>
      </w:r>
      <w:proofErr w:type="gramEnd"/>
      <w:r>
        <w:t xml:space="preserve"> puede </w:t>
      </w:r>
      <w:r w:rsidR="00B6315A">
        <w:t xml:space="preserve">ser </w:t>
      </w:r>
      <w:r>
        <w:t>elabora</w:t>
      </w:r>
      <w:r w:rsidR="00B6315A">
        <w:t>do por</w:t>
      </w:r>
      <w:r>
        <w:t xml:space="preserve"> el titular, una consultora, una persona natural, la ETFA, o quien el titular determine. Sin importar quién elabore el informe de seguimiento</w:t>
      </w:r>
      <w:r w:rsidR="00BB3939">
        <w:t xml:space="preserve"> o reporte de cumplimiento</w:t>
      </w:r>
      <w:r>
        <w:t>, es el titular el responsable de la información incluida en este documento.</w:t>
      </w:r>
    </w:p>
    <w:p w14:paraId="2349D33E" w14:textId="77777777" w:rsidR="00596A48" w:rsidRDefault="00596A48" w:rsidP="004A52EF">
      <w:pPr>
        <w:spacing w:after="0"/>
        <w:ind w:left="708"/>
        <w:jc w:val="both"/>
      </w:pPr>
    </w:p>
    <w:p w14:paraId="6239A4B3" w14:textId="53ADCD29" w:rsidR="00E41A30" w:rsidRPr="00BB3939" w:rsidRDefault="00E41A30" w:rsidP="00BB3939">
      <w:pPr>
        <w:pStyle w:val="Prrafodelista"/>
        <w:numPr>
          <w:ilvl w:val="0"/>
          <w:numId w:val="13"/>
        </w:numPr>
        <w:shd w:val="clear" w:color="auto" w:fill="FFFFFF"/>
        <w:jc w:val="both"/>
        <w:rPr>
          <w:rFonts w:eastAsia="Times New Roman" w:cs="Arial"/>
          <w:b/>
          <w:lang w:eastAsia="es-CL"/>
        </w:rPr>
      </w:pPr>
      <w:r w:rsidRPr="00BB3939">
        <w:rPr>
          <w:rFonts w:eastAsia="Times New Roman" w:cs="Arial"/>
          <w:b/>
          <w:lang w:eastAsia="es-CL"/>
        </w:rPr>
        <w:t xml:space="preserve">Si la Resolución de monitoreo de autocontrol de </w:t>
      </w:r>
      <w:proofErr w:type="spellStart"/>
      <w:r w:rsidRPr="00BB3939">
        <w:rPr>
          <w:rFonts w:eastAsia="Times New Roman" w:cs="Arial"/>
          <w:b/>
          <w:lang w:eastAsia="es-CL"/>
        </w:rPr>
        <w:t>RILes</w:t>
      </w:r>
      <w:proofErr w:type="spellEnd"/>
      <w:r w:rsidRPr="00BB3939">
        <w:rPr>
          <w:rFonts w:eastAsia="Times New Roman" w:cs="Arial"/>
          <w:b/>
          <w:lang w:eastAsia="es-CL"/>
        </w:rPr>
        <w:t xml:space="preserve"> es emitida por la SISS, ¿el monitoreo debe ser ejecutado por una ETFA? </w:t>
      </w:r>
    </w:p>
    <w:p w14:paraId="58704330" w14:textId="77777777" w:rsidR="00E41A30" w:rsidRPr="00E41A30" w:rsidRDefault="00E41A30" w:rsidP="009B2DD1">
      <w:pPr>
        <w:shd w:val="clear" w:color="auto" w:fill="FFFFFF"/>
        <w:spacing w:after="0" w:line="240" w:lineRule="auto"/>
        <w:ind w:left="360"/>
        <w:jc w:val="both"/>
        <w:rPr>
          <w:rFonts w:eastAsia="Times New Roman" w:cs="Arial"/>
          <w:lang w:eastAsia="es-CL"/>
        </w:rPr>
      </w:pPr>
      <w:r w:rsidRPr="00E41A30">
        <w:rPr>
          <w:rFonts w:eastAsia="Times New Roman" w:cs="Arial"/>
          <w:lang w:eastAsia="es-CL"/>
        </w:rPr>
        <w:t xml:space="preserve">El criterio de distribución de competencias entre la SISS y la SMA se encuentra en el art. 61 LOSMA. De acuerdo a dicha disposición, las concesionarias de servicios sanitarios continúan bajo la supervigilancia, control, fiscalización y sanción de la SISS. </w:t>
      </w:r>
      <w:r>
        <w:rPr>
          <w:rFonts w:eastAsia="Times New Roman" w:cs="Arial"/>
          <w:lang w:eastAsia="es-CL"/>
        </w:rPr>
        <w:t>De este modo, só</w:t>
      </w:r>
      <w:r w:rsidRPr="00E41A30">
        <w:rPr>
          <w:rFonts w:eastAsia="Times New Roman" w:cs="Arial"/>
          <w:lang w:eastAsia="es-CL"/>
        </w:rPr>
        <w:t>lo aquellas fuentes emisoras que son concesionarias de servicios sanitarios se encuentran eximidas del sistema ETFA de la SMA, correspondiendo en esos casos seguir las instrucciones que establezca la SISS al efecto.</w:t>
      </w:r>
    </w:p>
    <w:p w14:paraId="65CE724F" w14:textId="77777777" w:rsidR="00E41A30" w:rsidRPr="00E41A30" w:rsidRDefault="00E41A30" w:rsidP="00E41A30">
      <w:pPr>
        <w:shd w:val="clear" w:color="auto" w:fill="FFFFFF"/>
        <w:spacing w:after="0" w:line="240" w:lineRule="auto"/>
        <w:jc w:val="both"/>
        <w:rPr>
          <w:rFonts w:eastAsia="Times New Roman" w:cs="Arial"/>
          <w:sz w:val="16"/>
          <w:szCs w:val="16"/>
          <w:lang w:eastAsia="es-CL"/>
        </w:rPr>
      </w:pPr>
      <w:r w:rsidRPr="00E41A30">
        <w:rPr>
          <w:rFonts w:eastAsia="Times New Roman" w:cs="Arial"/>
          <w:lang w:eastAsia="es-CL"/>
        </w:rPr>
        <w:t> </w:t>
      </w:r>
    </w:p>
    <w:p w14:paraId="3C0433CA" w14:textId="77777777" w:rsidR="00E41A30" w:rsidRDefault="00E41A30" w:rsidP="009B2DD1">
      <w:pPr>
        <w:shd w:val="clear" w:color="auto" w:fill="FFFFFF"/>
        <w:spacing w:after="0" w:line="240" w:lineRule="auto"/>
        <w:ind w:left="360"/>
        <w:jc w:val="both"/>
        <w:rPr>
          <w:rFonts w:eastAsia="Times New Roman" w:cs="Arial"/>
          <w:lang w:eastAsia="es-CL"/>
        </w:rPr>
      </w:pPr>
      <w:r w:rsidRPr="00E41A30">
        <w:rPr>
          <w:rFonts w:eastAsia="Times New Roman" w:cs="Arial"/>
          <w:lang w:eastAsia="es-CL"/>
        </w:rPr>
        <w:t>Todas las fuentes emisoras que no sean concesionarias de servicios sanitarios, se encuentran sujetas al sistema ETFA, independiente del organismo que hubiese dictado la RPM. Cabe señalar que las RPM anteriores al año 2013 fueron dictadas por la SISS porque la SMA no entraba en funcionamiento, pero una vez que la SMA asume sus funciones con facultades plenas, dichas fuente emisoras se encuentran sujetas a las potestades de la SMA.</w:t>
      </w:r>
    </w:p>
    <w:p w14:paraId="0843A63A" w14:textId="77777777" w:rsidR="006639F6" w:rsidRPr="00E41A30" w:rsidRDefault="006639F6" w:rsidP="00E41A30">
      <w:pPr>
        <w:shd w:val="clear" w:color="auto" w:fill="FFFFFF"/>
        <w:spacing w:after="0" w:line="240" w:lineRule="auto"/>
        <w:ind w:left="708"/>
        <w:jc w:val="both"/>
        <w:rPr>
          <w:rFonts w:eastAsia="Times New Roman" w:cs="Arial"/>
          <w:lang w:eastAsia="es-CL"/>
        </w:rPr>
      </w:pPr>
    </w:p>
    <w:p w14:paraId="264CAA61" w14:textId="250189AA" w:rsidR="00E41A30" w:rsidRPr="00BB3939" w:rsidRDefault="00E41A30" w:rsidP="00BB3939">
      <w:pPr>
        <w:pStyle w:val="Prrafodelista"/>
        <w:numPr>
          <w:ilvl w:val="0"/>
          <w:numId w:val="13"/>
        </w:numPr>
        <w:shd w:val="clear" w:color="auto" w:fill="FFFFFF"/>
        <w:rPr>
          <w:rFonts w:eastAsia="Times New Roman" w:cs="Arial"/>
          <w:b/>
          <w:lang w:eastAsia="es-CL"/>
        </w:rPr>
      </w:pPr>
      <w:r w:rsidRPr="00BB3939">
        <w:rPr>
          <w:rFonts w:eastAsia="Times New Roman" w:cs="Arial"/>
          <w:b/>
          <w:lang w:eastAsia="es-CL"/>
        </w:rPr>
        <w:t>¿Qué excepciones existen al sistema ETFA?</w:t>
      </w:r>
    </w:p>
    <w:p w14:paraId="0E7E929E" w14:textId="77777777" w:rsidR="00BB3939" w:rsidRDefault="00BB3939" w:rsidP="009B2DD1">
      <w:pPr>
        <w:ind w:left="360"/>
        <w:jc w:val="both"/>
        <w:rPr>
          <w:rFonts w:cstheme="minorHAnsi"/>
        </w:rPr>
      </w:pPr>
      <w:r w:rsidRPr="00C530F7">
        <w:rPr>
          <w:rFonts w:cstheme="minorHAnsi"/>
        </w:rPr>
        <w:t xml:space="preserve">No se requerirá que </w:t>
      </w:r>
      <w:r w:rsidRPr="001254BA">
        <w:rPr>
          <w:rFonts w:cstheme="minorHAnsi"/>
        </w:rPr>
        <w:t xml:space="preserve">las actividades de </w:t>
      </w:r>
      <w:r w:rsidRPr="001254BA">
        <w:rPr>
          <w:rFonts w:cstheme="minorHAnsi"/>
          <w:b/>
        </w:rPr>
        <w:t>muestreo y/o</w:t>
      </w:r>
      <w:r w:rsidRPr="001254BA">
        <w:rPr>
          <w:rFonts w:cstheme="minorHAnsi"/>
        </w:rPr>
        <w:t xml:space="preserve"> </w:t>
      </w:r>
      <w:r w:rsidRPr="001254BA">
        <w:rPr>
          <w:rFonts w:cstheme="minorHAnsi"/>
          <w:b/>
        </w:rPr>
        <w:t xml:space="preserve">medición </w:t>
      </w:r>
      <w:r w:rsidRPr="008E2C93">
        <w:rPr>
          <w:rFonts w:cstheme="minorHAnsi"/>
        </w:rPr>
        <w:t>sean realizadas por una</w:t>
      </w:r>
      <w:r w:rsidRPr="00C530F7">
        <w:rPr>
          <w:rFonts w:cstheme="minorHAnsi"/>
        </w:rPr>
        <w:t xml:space="preserve"> entidad técnica de fiscalización ambiental,</w:t>
      </w:r>
      <w:r w:rsidRPr="001254BA">
        <w:rPr>
          <w:rFonts w:cstheme="minorHAnsi"/>
        </w:rPr>
        <w:t xml:space="preserve"> en el </w:t>
      </w:r>
      <w:r w:rsidRPr="001254BA">
        <w:rPr>
          <w:rFonts w:cstheme="minorHAnsi"/>
          <w:b/>
        </w:rPr>
        <w:t>componente agua</w:t>
      </w:r>
      <w:r w:rsidRPr="001254BA">
        <w:rPr>
          <w:rFonts w:cstheme="minorHAnsi"/>
        </w:rPr>
        <w:t>, cuando tales a</w:t>
      </w:r>
      <w:r>
        <w:rPr>
          <w:rFonts w:cstheme="minorHAnsi"/>
        </w:rPr>
        <w:t>ctividades cumplan alguna de las siguientes tres condiciones:</w:t>
      </w:r>
    </w:p>
    <w:p w14:paraId="2198C4FA" w14:textId="6562105C" w:rsidR="00BB3939" w:rsidRPr="009B2DD1" w:rsidRDefault="00BB3939" w:rsidP="00BB3939">
      <w:pPr>
        <w:pStyle w:val="Prrafodelista"/>
        <w:numPr>
          <w:ilvl w:val="0"/>
          <w:numId w:val="21"/>
        </w:numPr>
        <w:overflowPunct w:val="0"/>
        <w:autoSpaceDE w:val="0"/>
        <w:autoSpaceDN w:val="0"/>
        <w:adjustRightInd w:val="0"/>
        <w:contextualSpacing/>
        <w:jc w:val="both"/>
        <w:rPr>
          <w:rFonts w:eastAsia="Times New Roman" w:cstheme="minorHAnsi"/>
        </w:rPr>
      </w:pPr>
      <w:r w:rsidRPr="00BB3939">
        <w:rPr>
          <w:rFonts w:cstheme="minorHAnsi"/>
        </w:rPr>
        <w:t xml:space="preserve">Para los parámetros </w:t>
      </w:r>
      <w:r w:rsidRPr="00BB3939">
        <w:rPr>
          <w:rFonts w:cstheme="minorHAnsi"/>
          <w:u w:val="single"/>
        </w:rPr>
        <w:t>Nivel freático</w:t>
      </w:r>
      <w:r w:rsidRPr="00BB3939">
        <w:rPr>
          <w:rFonts w:cstheme="minorHAnsi"/>
        </w:rPr>
        <w:t xml:space="preserve"> y </w:t>
      </w:r>
      <w:r w:rsidRPr="00BB3939">
        <w:rPr>
          <w:rFonts w:cstheme="minorHAnsi"/>
          <w:u w:val="single"/>
        </w:rPr>
        <w:t>Nivel de agua</w:t>
      </w:r>
      <w:r w:rsidRPr="00BB3939">
        <w:rPr>
          <w:rFonts w:cstheme="minorHAnsi"/>
        </w:rPr>
        <w:t xml:space="preserve">, cuando el punto de medición no cuente con un valor límite o umbral de cumplimiento establecido en un instrumento de carácter ambiental de competencia de esta Superintendencia. </w:t>
      </w:r>
    </w:p>
    <w:p w14:paraId="56330443" w14:textId="77777777" w:rsidR="00BB3939" w:rsidRPr="00BB3939" w:rsidRDefault="00BB3939" w:rsidP="00BB3939">
      <w:pPr>
        <w:pStyle w:val="Prrafodelista"/>
        <w:numPr>
          <w:ilvl w:val="0"/>
          <w:numId w:val="21"/>
        </w:numPr>
        <w:overflowPunct w:val="0"/>
        <w:autoSpaceDE w:val="0"/>
        <w:autoSpaceDN w:val="0"/>
        <w:adjustRightInd w:val="0"/>
        <w:contextualSpacing/>
        <w:jc w:val="both"/>
        <w:rPr>
          <w:rFonts w:eastAsia="Times New Roman" w:cstheme="minorHAnsi"/>
        </w:rPr>
      </w:pPr>
      <w:r w:rsidRPr="00BB3939">
        <w:rPr>
          <w:rFonts w:cstheme="minorHAnsi"/>
        </w:rPr>
        <w:t xml:space="preserve">Para los siguientes parámetros, cuando las actividades de muestreo y/o medición sean realizadas con una frecuencia horaria (todas las horas) o diaria (todos los días). </w:t>
      </w:r>
    </w:p>
    <w:p w14:paraId="2B7B372E" w14:textId="77777777" w:rsidR="00BB3939" w:rsidRPr="00C229EC" w:rsidRDefault="00BB3939" w:rsidP="00BB3939">
      <w:pPr>
        <w:pStyle w:val="Prrafodelista"/>
        <w:numPr>
          <w:ilvl w:val="0"/>
          <w:numId w:val="18"/>
        </w:numPr>
        <w:contextualSpacing/>
        <w:jc w:val="both"/>
        <w:rPr>
          <w:rFonts w:asciiTheme="minorHAnsi" w:hAnsiTheme="minorHAnsi" w:cstheme="minorHAnsi"/>
        </w:rPr>
      </w:pPr>
      <w:r w:rsidRPr="00C229EC">
        <w:rPr>
          <w:rFonts w:asciiTheme="minorHAnsi" w:hAnsiTheme="minorHAnsi" w:cstheme="minorHAnsi"/>
        </w:rPr>
        <w:t>Caudal</w:t>
      </w:r>
    </w:p>
    <w:p w14:paraId="31009E94" w14:textId="77777777" w:rsidR="00BB3939" w:rsidRPr="001254BA" w:rsidRDefault="00BB3939" w:rsidP="00BB3939">
      <w:pPr>
        <w:numPr>
          <w:ilvl w:val="0"/>
          <w:numId w:val="18"/>
        </w:numPr>
        <w:spacing w:after="0" w:line="240" w:lineRule="auto"/>
        <w:contextualSpacing/>
        <w:jc w:val="both"/>
        <w:rPr>
          <w:rFonts w:cstheme="minorHAnsi"/>
        </w:rPr>
      </w:pPr>
      <w:r>
        <w:rPr>
          <w:rFonts w:cstheme="minorHAnsi"/>
        </w:rPr>
        <w:t>Volumen acumulado</w:t>
      </w:r>
    </w:p>
    <w:p w14:paraId="7FD05673" w14:textId="77777777" w:rsidR="00BB3939" w:rsidRPr="001254BA" w:rsidRDefault="00BB3939" w:rsidP="00BB3939">
      <w:pPr>
        <w:numPr>
          <w:ilvl w:val="0"/>
          <w:numId w:val="18"/>
        </w:numPr>
        <w:spacing w:after="0" w:line="240" w:lineRule="auto"/>
        <w:contextualSpacing/>
        <w:jc w:val="both"/>
        <w:rPr>
          <w:rFonts w:cstheme="minorHAnsi"/>
        </w:rPr>
      </w:pPr>
      <w:r w:rsidRPr="001254BA">
        <w:rPr>
          <w:rFonts w:cstheme="minorHAnsi"/>
        </w:rPr>
        <w:t>Cloro libre residual o cloro libre</w:t>
      </w:r>
    </w:p>
    <w:p w14:paraId="76916CF0" w14:textId="77777777" w:rsidR="00BB3939" w:rsidRPr="001254BA" w:rsidRDefault="00BB3939" w:rsidP="00BB3939">
      <w:pPr>
        <w:numPr>
          <w:ilvl w:val="0"/>
          <w:numId w:val="18"/>
        </w:numPr>
        <w:spacing w:after="0" w:line="240" w:lineRule="auto"/>
        <w:contextualSpacing/>
        <w:jc w:val="both"/>
        <w:rPr>
          <w:rFonts w:cstheme="minorHAnsi"/>
        </w:rPr>
      </w:pPr>
      <w:r w:rsidRPr="001254BA">
        <w:rPr>
          <w:rFonts w:cstheme="minorHAnsi"/>
        </w:rPr>
        <w:t>Cloro total o cloro residual</w:t>
      </w:r>
    </w:p>
    <w:p w14:paraId="440D3A6F" w14:textId="77777777" w:rsidR="00BB3939" w:rsidRPr="001254BA" w:rsidRDefault="00BB3939" w:rsidP="00BB3939">
      <w:pPr>
        <w:numPr>
          <w:ilvl w:val="0"/>
          <w:numId w:val="18"/>
        </w:numPr>
        <w:spacing w:after="0" w:line="240" w:lineRule="auto"/>
        <w:contextualSpacing/>
        <w:jc w:val="both"/>
        <w:rPr>
          <w:rFonts w:cstheme="minorHAnsi"/>
        </w:rPr>
      </w:pPr>
      <w:r w:rsidRPr="001254BA">
        <w:rPr>
          <w:rFonts w:cstheme="minorHAnsi"/>
        </w:rPr>
        <w:t>Conductividad</w:t>
      </w:r>
    </w:p>
    <w:p w14:paraId="4A8788EB" w14:textId="77777777" w:rsidR="00BB3939" w:rsidRPr="001254BA" w:rsidRDefault="00BB3939" w:rsidP="00BB3939">
      <w:pPr>
        <w:numPr>
          <w:ilvl w:val="0"/>
          <w:numId w:val="18"/>
        </w:numPr>
        <w:spacing w:after="0" w:line="240" w:lineRule="auto"/>
        <w:contextualSpacing/>
        <w:jc w:val="both"/>
        <w:rPr>
          <w:rFonts w:cstheme="minorHAnsi"/>
        </w:rPr>
      </w:pPr>
      <w:r w:rsidRPr="001254BA">
        <w:rPr>
          <w:rFonts w:cstheme="minorHAnsi"/>
        </w:rPr>
        <w:t>Oxígeno disuelto</w:t>
      </w:r>
    </w:p>
    <w:p w14:paraId="4C9C7BFB" w14:textId="77777777" w:rsidR="00BB3939" w:rsidRPr="001254BA" w:rsidRDefault="00BB3939" w:rsidP="00BB3939">
      <w:pPr>
        <w:numPr>
          <w:ilvl w:val="0"/>
          <w:numId w:val="18"/>
        </w:numPr>
        <w:spacing w:after="0" w:line="240" w:lineRule="auto"/>
        <w:contextualSpacing/>
        <w:jc w:val="both"/>
        <w:rPr>
          <w:rFonts w:cstheme="minorHAnsi"/>
        </w:rPr>
      </w:pPr>
      <w:r w:rsidRPr="001254BA">
        <w:rPr>
          <w:rFonts w:cstheme="minorHAnsi"/>
        </w:rPr>
        <w:t>pH</w:t>
      </w:r>
    </w:p>
    <w:p w14:paraId="2A4D3981" w14:textId="77777777" w:rsidR="00BB3939" w:rsidRPr="001254BA" w:rsidRDefault="00BB3939" w:rsidP="00BB3939">
      <w:pPr>
        <w:numPr>
          <w:ilvl w:val="0"/>
          <w:numId w:val="18"/>
        </w:numPr>
        <w:spacing w:after="0" w:line="240" w:lineRule="auto"/>
        <w:contextualSpacing/>
        <w:jc w:val="both"/>
        <w:rPr>
          <w:rFonts w:cstheme="minorHAnsi"/>
        </w:rPr>
      </w:pPr>
      <w:r w:rsidRPr="001254BA">
        <w:rPr>
          <w:rFonts w:cstheme="minorHAnsi"/>
        </w:rPr>
        <w:t xml:space="preserve">Sólidos sedimentables </w:t>
      </w:r>
    </w:p>
    <w:p w14:paraId="6FA3E439" w14:textId="77777777" w:rsidR="00BB3939" w:rsidRDefault="00BB3939" w:rsidP="00BB3939">
      <w:pPr>
        <w:numPr>
          <w:ilvl w:val="0"/>
          <w:numId w:val="18"/>
        </w:numPr>
        <w:spacing w:after="0" w:line="240" w:lineRule="auto"/>
        <w:contextualSpacing/>
        <w:jc w:val="both"/>
        <w:rPr>
          <w:rFonts w:cstheme="minorHAnsi"/>
        </w:rPr>
      </w:pPr>
      <w:r w:rsidRPr="001254BA">
        <w:rPr>
          <w:rFonts w:cstheme="minorHAnsi"/>
        </w:rPr>
        <w:lastRenderedPageBreak/>
        <w:t>Temperatura</w:t>
      </w:r>
    </w:p>
    <w:p w14:paraId="7D776127" w14:textId="5862BBE6" w:rsidR="00BB3939" w:rsidRDefault="00BB3939" w:rsidP="00BB3939">
      <w:pPr>
        <w:numPr>
          <w:ilvl w:val="0"/>
          <w:numId w:val="18"/>
        </w:numPr>
        <w:spacing w:after="0" w:line="240" w:lineRule="auto"/>
        <w:contextualSpacing/>
        <w:jc w:val="both"/>
        <w:rPr>
          <w:rFonts w:cstheme="minorHAnsi"/>
        </w:rPr>
      </w:pPr>
      <w:r>
        <w:rPr>
          <w:rFonts w:cstheme="minorHAnsi"/>
        </w:rPr>
        <w:t>Turbiedad</w:t>
      </w:r>
    </w:p>
    <w:p w14:paraId="42BA5F7B" w14:textId="117B12B8" w:rsidR="00BB3939" w:rsidRPr="00411D4C" w:rsidRDefault="009B2DD1" w:rsidP="00411D4C">
      <w:pPr>
        <w:pStyle w:val="Prrafodelista"/>
        <w:numPr>
          <w:ilvl w:val="0"/>
          <w:numId w:val="21"/>
        </w:numPr>
        <w:contextualSpacing/>
        <w:jc w:val="both"/>
        <w:rPr>
          <w:rFonts w:cstheme="minorHAnsi"/>
        </w:rPr>
      </w:pPr>
      <w:r w:rsidRPr="00411D4C">
        <w:rPr>
          <w:rFonts w:cstheme="minorHAnsi"/>
        </w:rPr>
        <w:t xml:space="preserve">Para </w:t>
      </w:r>
      <w:r w:rsidR="00BB3939" w:rsidRPr="00411D4C">
        <w:rPr>
          <w:rFonts w:cstheme="minorHAnsi"/>
        </w:rPr>
        <w:t xml:space="preserve">cualquier parámetro del componente agua, cuando las actividades de medición son llevadas a cabo en forma automatizada, en cuyo caso los titulares deberán mantener registros asociados al control metrológico (calibraciones, verificaciones, entre otros) y mantenciones de los equipos utilizados en tales mediciones, así como demostrar la competencia técnica de los operadores de los mencionados equipos. La competencia técnica del personal podrá ser demostrada a través de registros de capacitaciones, evaluaciones, entre otros. </w:t>
      </w:r>
    </w:p>
    <w:p w14:paraId="192C86B1" w14:textId="77777777" w:rsidR="00BB3939" w:rsidRPr="00BB3939" w:rsidRDefault="00BB3939" w:rsidP="00BB3939">
      <w:pPr>
        <w:overflowPunct w:val="0"/>
        <w:autoSpaceDE w:val="0"/>
        <w:autoSpaceDN w:val="0"/>
        <w:adjustRightInd w:val="0"/>
        <w:jc w:val="both"/>
        <w:rPr>
          <w:rFonts w:eastAsia="Times New Roman" w:cstheme="minorHAnsi"/>
          <w:sz w:val="10"/>
          <w:szCs w:val="10"/>
        </w:rPr>
      </w:pPr>
    </w:p>
    <w:p w14:paraId="78048115" w14:textId="549953B1" w:rsidR="00BB3939" w:rsidRDefault="00BB3939" w:rsidP="00411D4C">
      <w:pPr>
        <w:overflowPunct w:val="0"/>
        <w:autoSpaceDE w:val="0"/>
        <w:autoSpaceDN w:val="0"/>
        <w:adjustRightInd w:val="0"/>
        <w:ind w:left="1068"/>
        <w:jc w:val="both"/>
        <w:rPr>
          <w:rFonts w:eastAsia="Times New Roman" w:cstheme="minorHAnsi"/>
        </w:rPr>
      </w:pPr>
      <w:r>
        <w:rPr>
          <w:rFonts w:eastAsia="Times New Roman" w:cstheme="minorHAnsi"/>
        </w:rPr>
        <w:t xml:space="preserve">En particular respecto de las primeras dos condiciones que gatillan la excepción al sistema ETFA, </w:t>
      </w:r>
      <w:r w:rsidRPr="001254BA">
        <w:rPr>
          <w:rFonts w:eastAsia="Times New Roman" w:cstheme="minorHAnsi"/>
        </w:rPr>
        <w:t xml:space="preserve">las </w:t>
      </w:r>
      <w:r w:rsidRPr="001254BA">
        <w:rPr>
          <w:rFonts w:cstheme="minorHAnsi"/>
        </w:rPr>
        <w:t>actividades</w:t>
      </w:r>
      <w:r w:rsidRPr="001254BA">
        <w:rPr>
          <w:rFonts w:eastAsia="Times New Roman" w:cstheme="minorHAnsi"/>
        </w:rPr>
        <w:t xml:space="preserve"> </w:t>
      </w:r>
      <w:r>
        <w:rPr>
          <w:rFonts w:eastAsia="Times New Roman" w:cstheme="minorHAnsi"/>
        </w:rPr>
        <w:t xml:space="preserve">de muestreo y/o medición podrán </w:t>
      </w:r>
      <w:r w:rsidRPr="001254BA">
        <w:rPr>
          <w:rFonts w:eastAsia="Times New Roman" w:cstheme="minorHAnsi"/>
        </w:rPr>
        <w:t>se</w:t>
      </w:r>
      <w:r>
        <w:rPr>
          <w:rFonts w:eastAsia="Times New Roman" w:cstheme="minorHAnsi"/>
        </w:rPr>
        <w:t>r</w:t>
      </w:r>
      <w:r w:rsidRPr="001254BA">
        <w:rPr>
          <w:rFonts w:eastAsia="Times New Roman" w:cstheme="minorHAnsi"/>
        </w:rPr>
        <w:t xml:space="preserve"> ejecutadas por el personal del titular del proyecto, </w:t>
      </w:r>
      <w:r>
        <w:rPr>
          <w:rFonts w:eastAsia="Times New Roman" w:cstheme="minorHAnsi"/>
        </w:rPr>
        <w:t xml:space="preserve">para lo cual </w:t>
      </w:r>
      <w:r w:rsidRPr="001254BA">
        <w:rPr>
          <w:rFonts w:eastAsia="Times New Roman" w:cstheme="minorHAnsi"/>
        </w:rPr>
        <w:t xml:space="preserve">se deberá demostrar su competencia técnica y mantener los registros del control metrológico de los equipos utilizados en tales mediciones (termómetros, </w:t>
      </w:r>
      <w:proofErr w:type="spellStart"/>
      <w:r w:rsidRPr="001254BA">
        <w:rPr>
          <w:rFonts w:eastAsia="Times New Roman" w:cstheme="minorHAnsi"/>
        </w:rPr>
        <w:t>pHmetros</w:t>
      </w:r>
      <w:proofErr w:type="spellEnd"/>
      <w:r w:rsidRPr="001254BA">
        <w:rPr>
          <w:rFonts w:eastAsia="Times New Roman" w:cstheme="minorHAnsi"/>
        </w:rPr>
        <w:t>, entre otros), en los mismos términos descritos en el párrafo anterior</w:t>
      </w:r>
      <w:r>
        <w:rPr>
          <w:rFonts w:eastAsia="Times New Roman" w:cstheme="minorHAnsi"/>
        </w:rPr>
        <w:t xml:space="preserve"> referido a las actividades automatizadas</w:t>
      </w:r>
      <w:r w:rsidRPr="001254BA">
        <w:rPr>
          <w:rFonts w:eastAsia="Times New Roman" w:cstheme="minorHAnsi"/>
        </w:rPr>
        <w:t>.</w:t>
      </w:r>
    </w:p>
    <w:p w14:paraId="63191D8E" w14:textId="77777777" w:rsidR="004A52EF" w:rsidRDefault="004A52EF" w:rsidP="001459A7">
      <w:pPr>
        <w:shd w:val="clear" w:color="auto" w:fill="FFFFFF"/>
        <w:spacing w:after="0" w:line="240" w:lineRule="auto"/>
        <w:jc w:val="both"/>
        <w:rPr>
          <w:rFonts w:eastAsia="Times New Roman" w:cs="Arial"/>
          <w:lang w:eastAsia="es-CL"/>
        </w:rPr>
      </w:pPr>
    </w:p>
    <w:p w14:paraId="558FB537" w14:textId="0C7D865A" w:rsidR="001459A7" w:rsidRPr="003272E4" w:rsidRDefault="001459A7" w:rsidP="003272E4">
      <w:pPr>
        <w:pStyle w:val="Prrafodelista"/>
        <w:numPr>
          <w:ilvl w:val="0"/>
          <w:numId w:val="13"/>
        </w:numPr>
        <w:shd w:val="clear" w:color="auto" w:fill="FFFFFF"/>
        <w:jc w:val="both"/>
        <w:rPr>
          <w:rFonts w:eastAsia="Times New Roman" w:cs="Arial"/>
          <w:b/>
          <w:lang w:eastAsia="es-CL"/>
        </w:rPr>
      </w:pPr>
      <w:r w:rsidRPr="003272E4">
        <w:rPr>
          <w:rFonts w:eastAsia="Times New Roman" w:cs="Arial"/>
          <w:b/>
          <w:lang w:eastAsia="es-CL"/>
        </w:rPr>
        <w:t>Un titular de proyecto puede contratar a un Inspector Ambiental para ejecutar las</w:t>
      </w:r>
      <w:r w:rsidRPr="003272E4">
        <w:rPr>
          <w:rFonts w:eastAsia="Times New Roman" w:cs="Arial"/>
          <w:lang w:eastAsia="es-CL"/>
        </w:rPr>
        <w:t xml:space="preserve"> </w:t>
      </w:r>
      <w:r w:rsidRPr="003272E4">
        <w:rPr>
          <w:rFonts w:eastAsia="Times New Roman" w:cs="Arial"/>
          <w:b/>
          <w:lang w:eastAsia="es-CL"/>
        </w:rPr>
        <w:t>actividades de muestreo, medición, análisis, inspección y/o verificación?</w:t>
      </w:r>
    </w:p>
    <w:p w14:paraId="0527D6A7" w14:textId="78834EDF" w:rsidR="004A52EF" w:rsidRDefault="001459A7" w:rsidP="00411D4C">
      <w:pPr>
        <w:shd w:val="clear" w:color="auto" w:fill="FFFFFF"/>
        <w:spacing w:after="0" w:line="240" w:lineRule="auto"/>
        <w:ind w:left="360"/>
        <w:jc w:val="both"/>
        <w:rPr>
          <w:rFonts w:eastAsia="Times New Roman" w:cs="Arial"/>
          <w:lang w:eastAsia="es-CL"/>
        </w:rPr>
      </w:pPr>
      <w:r w:rsidRPr="00BB3939">
        <w:rPr>
          <w:rFonts w:eastAsia="Times New Roman" w:cs="Arial"/>
          <w:u w:val="single"/>
          <w:lang w:eastAsia="es-CL"/>
        </w:rPr>
        <w:t>No</w:t>
      </w:r>
      <w:r w:rsidR="00BB3939">
        <w:rPr>
          <w:rFonts w:eastAsia="Times New Roman" w:cs="Arial"/>
          <w:u w:val="single"/>
          <w:lang w:eastAsia="es-CL"/>
        </w:rPr>
        <w:t>. L</w:t>
      </w:r>
      <w:r>
        <w:rPr>
          <w:rFonts w:eastAsia="Times New Roman" w:cs="Arial"/>
          <w:lang w:eastAsia="es-CL"/>
        </w:rPr>
        <w:t xml:space="preserve">a obligatoriedad para los titulares es </w:t>
      </w:r>
      <w:r w:rsidRPr="00BB3939">
        <w:rPr>
          <w:rFonts w:eastAsia="Times New Roman" w:cs="Arial"/>
          <w:u w:val="single"/>
          <w:lang w:eastAsia="es-CL"/>
        </w:rPr>
        <w:t>contratar a una ETFA</w:t>
      </w:r>
      <w:r>
        <w:rPr>
          <w:rFonts w:eastAsia="Times New Roman" w:cs="Arial"/>
          <w:lang w:eastAsia="es-CL"/>
        </w:rPr>
        <w:t xml:space="preserve"> para ejecutar estas actividades. El Inspector Ambiental </w:t>
      </w:r>
      <w:r w:rsidRPr="00BB3939">
        <w:rPr>
          <w:rFonts w:eastAsia="Times New Roman" w:cs="Arial"/>
          <w:u w:val="single"/>
          <w:lang w:eastAsia="es-CL"/>
        </w:rPr>
        <w:t>no puede operar en forma independiente a una ETFA</w:t>
      </w:r>
      <w:r>
        <w:rPr>
          <w:rFonts w:eastAsia="Times New Roman" w:cs="Arial"/>
          <w:lang w:eastAsia="es-CL"/>
        </w:rPr>
        <w:t>.</w:t>
      </w:r>
    </w:p>
    <w:p w14:paraId="646265B6" w14:textId="77777777" w:rsidR="00985EB4" w:rsidRDefault="00985EB4" w:rsidP="00985EB4">
      <w:pPr>
        <w:shd w:val="clear" w:color="auto" w:fill="FFFFFF"/>
        <w:spacing w:after="0" w:line="240" w:lineRule="auto"/>
        <w:jc w:val="both"/>
        <w:rPr>
          <w:rFonts w:eastAsia="Times New Roman" w:cs="Arial"/>
          <w:lang w:eastAsia="es-CL"/>
        </w:rPr>
      </w:pPr>
    </w:p>
    <w:p w14:paraId="18A21047" w14:textId="2ADF5351" w:rsidR="00EB38FE" w:rsidRPr="003272E4" w:rsidRDefault="00493A59" w:rsidP="003272E4">
      <w:pPr>
        <w:pStyle w:val="Prrafodelista"/>
        <w:numPr>
          <w:ilvl w:val="0"/>
          <w:numId w:val="13"/>
        </w:numPr>
        <w:jc w:val="both"/>
        <w:rPr>
          <w:rFonts w:cs="Arial"/>
          <w:b/>
          <w:color w:val="222222"/>
          <w:shd w:val="clear" w:color="auto" w:fill="FFFFFF"/>
        </w:rPr>
      </w:pPr>
      <w:r w:rsidRPr="003272E4">
        <w:rPr>
          <w:rFonts w:eastAsia="Times New Roman" w:cs="Arial"/>
          <w:b/>
          <w:lang w:eastAsia="es-CL"/>
        </w:rPr>
        <w:t>¿</w:t>
      </w:r>
      <w:r w:rsidR="00EB38FE" w:rsidRPr="003272E4">
        <w:rPr>
          <w:rFonts w:cs="Arial"/>
          <w:b/>
          <w:color w:val="222222"/>
          <w:shd w:val="clear" w:color="auto" w:fill="FFFFFF"/>
        </w:rPr>
        <w:t xml:space="preserve">En aquellos casos donde </w:t>
      </w:r>
      <w:r w:rsidR="00FA1992" w:rsidRPr="003272E4">
        <w:rPr>
          <w:rFonts w:cs="Arial"/>
          <w:b/>
          <w:color w:val="222222"/>
          <w:shd w:val="clear" w:color="auto" w:fill="FFFFFF"/>
        </w:rPr>
        <w:t>existen</w:t>
      </w:r>
      <w:r w:rsidR="00EB38FE" w:rsidRPr="003272E4">
        <w:rPr>
          <w:rFonts w:cs="Arial"/>
          <w:b/>
          <w:color w:val="222222"/>
          <w:shd w:val="clear" w:color="auto" w:fill="FFFFFF"/>
        </w:rPr>
        <w:t xml:space="preserve"> exigencias asociadas al monitoreo del cuerpo receptor aplica el sistema ETFA?</w:t>
      </w:r>
    </w:p>
    <w:p w14:paraId="1C572DDD" w14:textId="5596CB2A" w:rsidR="00EB38FE" w:rsidRDefault="00EB38FE" w:rsidP="00411D4C">
      <w:pPr>
        <w:spacing w:after="0"/>
        <w:ind w:left="360"/>
        <w:jc w:val="both"/>
        <w:rPr>
          <w:rFonts w:cs="Arial"/>
          <w:shd w:val="clear" w:color="auto" w:fill="FFFFFF"/>
        </w:rPr>
      </w:pPr>
      <w:r w:rsidRPr="00BD739D">
        <w:rPr>
          <w:rFonts w:cs="Arial"/>
          <w:shd w:val="clear" w:color="auto" w:fill="FFFFFF"/>
        </w:rPr>
        <w:t xml:space="preserve">El monitoreo del cuerpo receptor se encuentra asociado al seguimiento ambiental de un proyecto que cuenta con RCA. Por esta razón, </w:t>
      </w:r>
      <w:r w:rsidR="00E513A5" w:rsidRPr="00BD739D">
        <w:rPr>
          <w:rFonts w:cs="Arial"/>
          <w:shd w:val="clear" w:color="auto" w:fill="FFFFFF"/>
        </w:rPr>
        <w:t>se debe regir de acuerdo a</w:t>
      </w:r>
      <w:r w:rsidRPr="00BD739D">
        <w:rPr>
          <w:rFonts w:cs="Arial"/>
          <w:shd w:val="clear" w:color="auto" w:fill="FFFFFF"/>
        </w:rPr>
        <w:t xml:space="preserve"> lo dispuesto en la Res</w:t>
      </w:r>
      <w:r w:rsidR="00E513A5" w:rsidRPr="00BD739D">
        <w:rPr>
          <w:rFonts w:cs="Arial"/>
          <w:shd w:val="clear" w:color="auto" w:fill="FFFFFF"/>
        </w:rPr>
        <w:t>olución</w:t>
      </w:r>
      <w:r w:rsidRPr="00BD739D">
        <w:rPr>
          <w:rFonts w:cs="Arial"/>
          <w:shd w:val="clear" w:color="auto" w:fill="FFFFFF"/>
        </w:rPr>
        <w:t xml:space="preserve"> Ex</w:t>
      </w:r>
      <w:r w:rsidR="00E513A5" w:rsidRPr="00BD739D">
        <w:rPr>
          <w:rFonts w:cs="Arial"/>
          <w:shd w:val="clear" w:color="auto" w:fill="FFFFFF"/>
        </w:rPr>
        <w:t>enta N°</w:t>
      </w:r>
      <w:r w:rsidRPr="00BD739D">
        <w:rPr>
          <w:rFonts w:cs="Arial"/>
          <w:shd w:val="clear" w:color="auto" w:fill="FFFFFF"/>
        </w:rPr>
        <w:t xml:space="preserve"> 223/2015</w:t>
      </w:r>
      <w:r w:rsidR="00E513A5" w:rsidRPr="00BD739D">
        <w:rPr>
          <w:rFonts w:cs="Arial"/>
          <w:shd w:val="clear" w:color="auto" w:fill="FFFFFF"/>
        </w:rPr>
        <w:t xml:space="preserve"> SMA, </w:t>
      </w:r>
      <w:r w:rsidRPr="00BD739D">
        <w:rPr>
          <w:rFonts w:cs="Arial"/>
          <w:shd w:val="clear" w:color="auto" w:fill="FFFFFF"/>
        </w:rPr>
        <w:t xml:space="preserve">y </w:t>
      </w:r>
      <w:r w:rsidR="00E513A5" w:rsidRPr="00BD739D">
        <w:rPr>
          <w:rFonts w:cs="Arial"/>
          <w:shd w:val="clear" w:color="auto" w:fill="FFFFFF"/>
        </w:rPr>
        <w:t>las actividades deben ejecutarse por medio de una</w:t>
      </w:r>
      <w:r w:rsidRPr="00BD739D">
        <w:rPr>
          <w:rFonts w:cs="Arial"/>
          <w:shd w:val="clear" w:color="auto" w:fill="FFFFFF"/>
        </w:rPr>
        <w:t xml:space="preserve"> ETFA</w:t>
      </w:r>
      <w:r w:rsidR="00A073F5" w:rsidRPr="00BD739D">
        <w:rPr>
          <w:rFonts w:cs="Arial"/>
          <w:shd w:val="clear" w:color="auto" w:fill="FFFFFF"/>
        </w:rPr>
        <w:t xml:space="preserve"> autorizada en los alcances correspondientes</w:t>
      </w:r>
      <w:r w:rsidRPr="00BD739D">
        <w:rPr>
          <w:rFonts w:cs="Arial"/>
          <w:shd w:val="clear" w:color="auto" w:fill="FFFFFF"/>
        </w:rPr>
        <w:t>.</w:t>
      </w:r>
    </w:p>
    <w:p w14:paraId="779FA395" w14:textId="08500926" w:rsidR="003272E4" w:rsidRPr="003272E4" w:rsidRDefault="003272E4" w:rsidP="003272E4">
      <w:pPr>
        <w:rPr>
          <w:rFonts w:cs="Arial"/>
          <w:b/>
          <w:bCs/>
          <w:shd w:val="clear" w:color="auto" w:fill="FFFFFF"/>
        </w:rPr>
      </w:pPr>
    </w:p>
    <w:p w14:paraId="017BB17A" w14:textId="374CE65B" w:rsidR="003272E4" w:rsidRPr="003272E4" w:rsidRDefault="003272E4" w:rsidP="00970089">
      <w:pPr>
        <w:pStyle w:val="Prrafodelista"/>
        <w:numPr>
          <w:ilvl w:val="0"/>
          <w:numId w:val="13"/>
        </w:numPr>
        <w:jc w:val="both"/>
        <w:rPr>
          <w:b/>
          <w:bCs/>
        </w:rPr>
      </w:pPr>
      <w:r w:rsidRPr="003272E4">
        <w:rPr>
          <w:b/>
          <w:bCs/>
        </w:rPr>
        <w:t>¿La ETFA que contrate un titular de proyectos puede subcontratar actividades a otra ETFA?</w:t>
      </w:r>
    </w:p>
    <w:p w14:paraId="425383B0" w14:textId="77777777" w:rsidR="003272E4" w:rsidRPr="001254BA" w:rsidRDefault="003272E4" w:rsidP="00411D4C">
      <w:pPr>
        <w:ind w:left="360"/>
        <w:jc w:val="both"/>
        <w:rPr>
          <w:rFonts w:eastAsia="Times New Roman" w:cstheme="minorHAnsi"/>
        </w:rPr>
      </w:pPr>
      <w:r w:rsidRPr="00C530F7">
        <w:rPr>
          <w:rFonts w:cstheme="minorHAnsi"/>
        </w:rPr>
        <w:t>Las ETFA podrán subcontratar las actividad</w:t>
      </w:r>
      <w:r w:rsidRPr="001254BA">
        <w:rPr>
          <w:rFonts w:cstheme="minorHAnsi"/>
        </w:rPr>
        <w:t xml:space="preserve">es que estén dentro de sus alcances autorizados, cuando por circunstancias debidamente justificadas no pueda ofrecer temporalmente dichos servicios. Esta subcontratación deberá encargarse a una o más ETFA autorizadas para los alcances específicos de que se trate. </w:t>
      </w:r>
      <w:r>
        <w:rPr>
          <w:rFonts w:cstheme="minorHAnsi"/>
        </w:rPr>
        <w:t xml:space="preserve"> En este caso, l</w:t>
      </w:r>
      <w:r w:rsidRPr="001254BA">
        <w:rPr>
          <w:rFonts w:cstheme="minorHAnsi"/>
        </w:rPr>
        <w:t>a ETFA que subcontrate los servicios de otra</w:t>
      </w:r>
      <w:r>
        <w:rPr>
          <w:rFonts w:cstheme="minorHAnsi"/>
        </w:rPr>
        <w:t>,</w:t>
      </w:r>
      <w:r w:rsidRPr="001254BA">
        <w:rPr>
          <w:rFonts w:cstheme="minorHAnsi"/>
        </w:rPr>
        <w:t xml:space="preserve"> deberá mantener un registro con el detalle de esta situación, incluyendo la justificación</w:t>
      </w:r>
      <w:r>
        <w:rPr>
          <w:rFonts w:cstheme="minorHAnsi"/>
        </w:rPr>
        <w:t>, lo que podrá ser requerido por la SMA cuando lo estime conveniente</w:t>
      </w:r>
      <w:r w:rsidRPr="001254BA">
        <w:rPr>
          <w:rFonts w:cstheme="minorHAnsi"/>
        </w:rPr>
        <w:t>.</w:t>
      </w:r>
      <w:r>
        <w:rPr>
          <w:rFonts w:cstheme="minorHAnsi"/>
        </w:rPr>
        <w:t xml:space="preserve"> </w:t>
      </w:r>
      <w:r>
        <w:rPr>
          <w:rFonts w:eastAsia="Times New Roman" w:cstheme="minorHAnsi"/>
        </w:rPr>
        <w:t xml:space="preserve">De la misma manera, </w:t>
      </w:r>
      <w:r w:rsidRPr="001254BA">
        <w:rPr>
          <w:rFonts w:eastAsia="Times New Roman" w:cstheme="minorHAnsi"/>
        </w:rPr>
        <w:t xml:space="preserve">una ETFA </w:t>
      </w:r>
      <w:r w:rsidRPr="00F808C0">
        <w:rPr>
          <w:rFonts w:eastAsia="Times New Roman" w:cstheme="minorHAnsi"/>
        </w:rPr>
        <w:t>podrá s</w:t>
      </w:r>
      <w:r w:rsidRPr="001254BA">
        <w:rPr>
          <w:rFonts w:eastAsia="Times New Roman" w:cstheme="minorHAnsi"/>
        </w:rPr>
        <w:t xml:space="preserve">ubcontratar a otra ETFA para la realización de actividades de muestreo, medición, análisis, inspección y/o verificación, que </w:t>
      </w:r>
      <w:r w:rsidRPr="001254BA">
        <w:rPr>
          <w:rFonts w:eastAsia="Times New Roman" w:cstheme="minorHAnsi"/>
          <w:u w:val="single"/>
        </w:rPr>
        <w:t>no</w:t>
      </w:r>
      <w:r w:rsidRPr="001254BA">
        <w:rPr>
          <w:rFonts w:eastAsia="Times New Roman" w:cstheme="minorHAnsi"/>
        </w:rPr>
        <w:t xml:space="preserve"> estén dentro de su alcance de autorización</w:t>
      </w:r>
      <w:r>
        <w:rPr>
          <w:rFonts w:eastAsia="Times New Roman" w:cstheme="minorHAnsi"/>
        </w:rPr>
        <w:t>.</w:t>
      </w:r>
    </w:p>
    <w:p w14:paraId="44AA62A3" w14:textId="6F7F6D84" w:rsidR="003272E4" w:rsidRDefault="003272E4" w:rsidP="00411D4C">
      <w:pPr>
        <w:ind w:left="360"/>
        <w:jc w:val="both"/>
        <w:rPr>
          <w:rFonts w:cstheme="minorHAnsi"/>
          <w:i/>
          <w:iCs/>
        </w:rPr>
      </w:pPr>
      <w:r w:rsidRPr="001254BA">
        <w:rPr>
          <w:rFonts w:cstheme="minorHAnsi"/>
        </w:rPr>
        <w:t>De ser necesario proceder a una subcontratación, el titular afectado deberá manifestar expresamente su acuerdo por escrit</w:t>
      </w:r>
      <w:r>
        <w:rPr>
          <w:rFonts w:cstheme="minorHAnsi"/>
        </w:rPr>
        <w:t>o</w:t>
      </w:r>
      <w:r w:rsidRPr="001254BA">
        <w:rPr>
          <w:rFonts w:cstheme="minorHAnsi"/>
        </w:rPr>
        <w:t>.</w:t>
      </w:r>
      <w:r>
        <w:rPr>
          <w:rFonts w:cstheme="minorHAnsi"/>
        </w:rPr>
        <w:t xml:space="preserve"> </w:t>
      </w:r>
      <w:r w:rsidRPr="001254BA">
        <w:rPr>
          <w:rFonts w:cstheme="minorHAnsi"/>
        </w:rPr>
        <w:t xml:space="preserve">Asimismo, en el informe de resultados se deberá </w:t>
      </w:r>
      <w:r w:rsidRPr="00EC2089">
        <w:rPr>
          <w:rFonts w:cstheme="minorHAnsi"/>
        </w:rPr>
        <w:t xml:space="preserve">individualizar la ETFA subcontratada, así como el detalle de los alcances objeto de la </w:t>
      </w:r>
      <w:r w:rsidRPr="00EC2089">
        <w:rPr>
          <w:rFonts w:cstheme="minorHAnsi"/>
        </w:rPr>
        <w:lastRenderedPageBreak/>
        <w:t>subcontratación y se deberá adjuntar como anexo, el informe de resultados de la ETFA su</w:t>
      </w:r>
      <w:r>
        <w:rPr>
          <w:rFonts w:cstheme="minorHAnsi"/>
        </w:rPr>
        <w:t>b</w:t>
      </w:r>
      <w:r w:rsidRPr="00EC2089">
        <w:rPr>
          <w:rFonts w:cstheme="minorHAnsi"/>
        </w:rPr>
        <w:t>contratada</w:t>
      </w:r>
      <w:r w:rsidRPr="00134A7D">
        <w:rPr>
          <w:rFonts w:cstheme="minorHAnsi"/>
          <w:i/>
          <w:iCs/>
        </w:rPr>
        <w:t xml:space="preserve">. </w:t>
      </w:r>
    </w:p>
    <w:p w14:paraId="4FEEC2A8" w14:textId="77777777" w:rsidR="003272E4" w:rsidRPr="001254BA" w:rsidRDefault="003272E4" w:rsidP="00411D4C">
      <w:pPr>
        <w:ind w:left="360"/>
        <w:jc w:val="both"/>
        <w:rPr>
          <w:rFonts w:cstheme="minorHAnsi"/>
        </w:rPr>
      </w:pPr>
      <w:r w:rsidRPr="003951C9">
        <w:rPr>
          <w:rFonts w:cstheme="minorHAnsi"/>
        </w:rPr>
        <w:t>La ETFA subcontratada deberá responder por escrito a la ETFA subcontratante, respecto de la factibilidad de realizar el servicio consultado.</w:t>
      </w:r>
    </w:p>
    <w:p w14:paraId="647B66B2" w14:textId="77777777" w:rsidR="003272E4" w:rsidRPr="001254BA" w:rsidRDefault="003272E4" w:rsidP="00411D4C">
      <w:pPr>
        <w:ind w:left="360"/>
        <w:jc w:val="both"/>
        <w:rPr>
          <w:rFonts w:eastAsia="Times New Roman" w:cstheme="minorHAnsi"/>
        </w:rPr>
      </w:pPr>
      <w:r w:rsidRPr="001254BA">
        <w:rPr>
          <w:rFonts w:eastAsia="Times New Roman" w:cstheme="minorHAnsi"/>
        </w:rPr>
        <w:t xml:space="preserve">La ETFA subcontratante </w:t>
      </w:r>
      <w:r>
        <w:rPr>
          <w:rFonts w:eastAsia="Times New Roman" w:cstheme="minorHAnsi"/>
        </w:rPr>
        <w:t xml:space="preserve">y subcontratada </w:t>
      </w:r>
      <w:r w:rsidRPr="001254BA">
        <w:rPr>
          <w:rFonts w:eastAsia="Times New Roman" w:cstheme="minorHAnsi"/>
        </w:rPr>
        <w:t>será</w:t>
      </w:r>
      <w:r>
        <w:rPr>
          <w:rFonts w:eastAsia="Times New Roman" w:cstheme="minorHAnsi"/>
        </w:rPr>
        <w:t>n</w:t>
      </w:r>
      <w:r w:rsidRPr="001254BA">
        <w:rPr>
          <w:rFonts w:eastAsia="Times New Roman" w:cstheme="minorHAnsi"/>
        </w:rPr>
        <w:t xml:space="preserve"> responsable de las actividades realizadas ante la SMA, en los términos dispuestos en el reglamento</w:t>
      </w:r>
      <w:r>
        <w:rPr>
          <w:rFonts w:eastAsia="Times New Roman" w:cstheme="minorHAnsi"/>
        </w:rPr>
        <w:t>.</w:t>
      </w:r>
    </w:p>
    <w:p w14:paraId="0FBC3D5E" w14:textId="06171AA1" w:rsidR="003272E4" w:rsidRDefault="003272E4" w:rsidP="00411D4C">
      <w:pPr>
        <w:pStyle w:val="Prrafodelista"/>
        <w:ind w:left="360"/>
        <w:jc w:val="both"/>
        <w:rPr>
          <w:rFonts w:asciiTheme="minorHAnsi" w:eastAsia="Times New Roman" w:hAnsiTheme="minorHAnsi" w:cs="Arial"/>
        </w:rPr>
      </w:pPr>
      <w:r w:rsidRPr="001254BA">
        <w:rPr>
          <w:rFonts w:asciiTheme="minorHAnsi" w:eastAsia="Times New Roman" w:hAnsiTheme="minorHAnsi" w:cstheme="minorHAnsi"/>
        </w:rPr>
        <w:t xml:space="preserve">Finalmente, el representante legal o a quien se delegue esa función y </w:t>
      </w:r>
      <w:r>
        <w:rPr>
          <w:rFonts w:asciiTheme="minorHAnsi" w:eastAsia="Times New Roman" w:hAnsiTheme="minorHAnsi" w:cstheme="minorHAnsi"/>
        </w:rPr>
        <w:t>el</w:t>
      </w:r>
      <w:r w:rsidRPr="001254BA">
        <w:rPr>
          <w:rFonts w:asciiTheme="minorHAnsi" w:eastAsia="Times New Roman" w:hAnsiTheme="minorHAnsi" w:cstheme="minorHAnsi"/>
        </w:rPr>
        <w:t xml:space="preserve"> inspector ambientales involucrados de la ETFA subcontratada </w:t>
      </w:r>
      <w:r>
        <w:rPr>
          <w:rFonts w:asciiTheme="minorHAnsi" w:eastAsia="Times New Roman" w:hAnsiTheme="minorHAnsi" w:cstheme="minorHAnsi"/>
        </w:rPr>
        <w:t xml:space="preserve">y subcontratante </w:t>
      </w:r>
      <w:r w:rsidRPr="001254BA">
        <w:rPr>
          <w:rFonts w:asciiTheme="minorHAnsi" w:eastAsia="Times New Roman" w:hAnsiTheme="minorHAnsi" w:cstheme="minorHAnsi"/>
        </w:rPr>
        <w:t>deberán suscribir las declaraciones juradas indicadas en los artículos 15 letra g) y 16 del reglamento ETFA, las que deberán adjuntarse cada vez que se emita un informe de resultados</w:t>
      </w:r>
      <w:r>
        <w:rPr>
          <w:rFonts w:asciiTheme="minorHAnsi" w:eastAsia="Times New Roman" w:hAnsiTheme="minorHAnsi" w:cstheme="minorHAnsi"/>
        </w:rPr>
        <w:t xml:space="preserve">, el que deberá a su vez cumplir con los contenidos mínimos indicados en el documento </w:t>
      </w:r>
      <w:r>
        <w:rPr>
          <w:rFonts w:asciiTheme="minorHAnsi" w:eastAsia="Times New Roman" w:hAnsiTheme="minorHAnsi" w:cs="Arial"/>
        </w:rPr>
        <w:t>“Instrucción para la operatividad general de las entidades técnicas de fiscalización ambiental”</w:t>
      </w:r>
      <w:r w:rsidR="00814C6F">
        <w:rPr>
          <w:rFonts w:asciiTheme="minorHAnsi" w:eastAsia="Times New Roman" w:hAnsiTheme="minorHAnsi" w:cs="Arial"/>
        </w:rPr>
        <w:t xml:space="preserve"> </w:t>
      </w:r>
      <w:r w:rsidR="00814C6F" w:rsidRPr="00814C6F">
        <w:rPr>
          <w:rFonts w:asciiTheme="minorHAnsi" w:eastAsia="Times New Roman" w:hAnsiTheme="minorHAnsi" w:cs="Arial"/>
        </w:rPr>
        <w:t>(</w:t>
      </w:r>
      <w:hyperlink r:id="rId15" w:history="1">
        <w:r w:rsidR="00814C6F" w:rsidRPr="00814C6F">
          <w:rPr>
            <w:rStyle w:val="Hipervnculo"/>
            <w:rFonts w:asciiTheme="minorHAnsi" w:eastAsia="Times New Roman" w:hAnsiTheme="minorHAnsi" w:cs="Arial"/>
            <w:color w:val="auto"/>
            <w:u w:val="none"/>
          </w:rPr>
          <w:t>https://entidadestecnicas.sma.gob.cl/Home/Documentos</w:t>
        </w:r>
      </w:hyperlink>
      <w:r w:rsidR="00814C6F">
        <w:rPr>
          <w:rFonts w:asciiTheme="minorHAnsi" w:eastAsia="Times New Roman" w:hAnsiTheme="minorHAnsi" w:cs="Arial"/>
        </w:rPr>
        <w:t>)</w:t>
      </w:r>
      <w:r>
        <w:rPr>
          <w:rFonts w:asciiTheme="minorHAnsi" w:eastAsia="Times New Roman" w:hAnsiTheme="minorHAnsi" w:cs="Arial"/>
        </w:rPr>
        <w:t>.</w:t>
      </w:r>
    </w:p>
    <w:p w14:paraId="27D55872" w14:textId="77777777" w:rsidR="00814C6F" w:rsidRPr="003272E4" w:rsidRDefault="00814C6F" w:rsidP="003272E4">
      <w:pPr>
        <w:pStyle w:val="Prrafodelista"/>
        <w:jc w:val="both"/>
        <w:rPr>
          <w:rFonts w:cs="Arial"/>
          <w:shd w:val="clear" w:color="auto" w:fill="FFFFFF"/>
        </w:rPr>
      </w:pPr>
    </w:p>
    <w:p w14:paraId="3A059BDA" w14:textId="2308D4AF" w:rsidR="003272E4" w:rsidRPr="003272E4" w:rsidRDefault="003272E4" w:rsidP="003272E4">
      <w:pPr>
        <w:pStyle w:val="Ttulo1"/>
        <w:numPr>
          <w:ilvl w:val="0"/>
          <w:numId w:val="13"/>
        </w:numPr>
        <w:spacing w:before="0" w:line="240" w:lineRule="auto"/>
        <w:jc w:val="both"/>
        <w:rPr>
          <w:rFonts w:asciiTheme="minorHAnsi" w:hAnsiTheme="minorHAnsi" w:cstheme="minorHAnsi"/>
          <w:b/>
          <w:bCs/>
          <w:color w:val="auto"/>
          <w:sz w:val="22"/>
          <w:szCs w:val="22"/>
        </w:rPr>
      </w:pPr>
      <w:r w:rsidRPr="003272E4">
        <w:rPr>
          <w:rFonts w:asciiTheme="minorHAnsi" w:hAnsiTheme="minorHAnsi" w:cstheme="minorHAnsi"/>
          <w:b/>
          <w:bCs/>
          <w:color w:val="auto"/>
          <w:sz w:val="22"/>
          <w:szCs w:val="22"/>
        </w:rPr>
        <w:t>¿Qué información asociada a las ETFA debe incluir el titular de un proyecto, en los informes de seguimiento de RCA, o en reportes de cumplimi</w:t>
      </w:r>
      <w:r>
        <w:rPr>
          <w:rFonts w:asciiTheme="minorHAnsi" w:hAnsiTheme="minorHAnsi" w:cstheme="minorHAnsi"/>
          <w:b/>
          <w:bCs/>
          <w:color w:val="auto"/>
          <w:sz w:val="22"/>
          <w:szCs w:val="22"/>
        </w:rPr>
        <w:t>ento</w:t>
      </w:r>
      <w:r w:rsidRPr="003272E4">
        <w:rPr>
          <w:rFonts w:asciiTheme="minorHAnsi" w:hAnsiTheme="minorHAnsi" w:cstheme="minorHAnsi"/>
          <w:b/>
          <w:bCs/>
          <w:color w:val="auto"/>
          <w:sz w:val="22"/>
          <w:szCs w:val="22"/>
        </w:rPr>
        <w:t xml:space="preserve"> que debe remitir a la SMA? </w:t>
      </w:r>
    </w:p>
    <w:p w14:paraId="0438BB2A" w14:textId="77777777" w:rsidR="003272E4" w:rsidRPr="00E34ED4" w:rsidRDefault="003272E4" w:rsidP="00411D4C">
      <w:pPr>
        <w:ind w:left="360"/>
        <w:jc w:val="both"/>
        <w:rPr>
          <w:rFonts w:cstheme="minorHAnsi"/>
        </w:rPr>
      </w:pPr>
      <w:r w:rsidRPr="00CB53EA">
        <w:rPr>
          <w:rFonts w:cstheme="minorHAnsi"/>
        </w:rPr>
        <w:t xml:space="preserve">Los </w:t>
      </w:r>
      <w:r w:rsidRPr="00CB53EA">
        <w:rPr>
          <w:rFonts w:eastAsia="Times New Roman" w:cs="Arial"/>
        </w:rPr>
        <w:t xml:space="preserve">titulares de un proyecto, sistema, actividad o fuente </w:t>
      </w:r>
      <w:r w:rsidRPr="00CB53EA">
        <w:rPr>
          <w:rFonts w:cstheme="minorHAnsi"/>
        </w:rPr>
        <w:t>deberán adjuntar al informe de seguimiento ambiental de una resolución de calificación ambiental (RCA) o a los informes o reportes de cumplimiento contenidos en cualquier instrumento de carácter ambiental, los siguientes documentos:</w:t>
      </w:r>
    </w:p>
    <w:p w14:paraId="0F70D9E1" w14:textId="77777777" w:rsidR="003272E4" w:rsidRPr="00E34ED4" w:rsidRDefault="003272E4" w:rsidP="003272E4">
      <w:pPr>
        <w:pStyle w:val="Prrafodelista"/>
        <w:numPr>
          <w:ilvl w:val="0"/>
          <w:numId w:val="25"/>
        </w:numPr>
        <w:spacing w:after="200" w:line="276" w:lineRule="auto"/>
        <w:contextualSpacing/>
        <w:jc w:val="both"/>
        <w:rPr>
          <w:rFonts w:asciiTheme="minorHAnsi" w:hAnsiTheme="minorHAnsi" w:cstheme="minorHAnsi"/>
          <w:lang w:eastAsia="es-ES"/>
        </w:rPr>
      </w:pPr>
      <w:r w:rsidRPr="00E34ED4">
        <w:rPr>
          <w:rFonts w:asciiTheme="minorHAnsi" w:hAnsiTheme="minorHAnsi" w:cstheme="minorHAnsi"/>
        </w:rPr>
        <w:t xml:space="preserve">Una copia </w:t>
      </w:r>
      <w:r>
        <w:rPr>
          <w:rFonts w:asciiTheme="minorHAnsi" w:hAnsiTheme="minorHAnsi" w:cstheme="minorHAnsi"/>
        </w:rPr>
        <w:t xml:space="preserve">íntegra y legible </w:t>
      </w:r>
      <w:r w:rsidRPr="00E34ED4">
        <w:rPr>
          <w:rFonts w:asciiTheme="minorHAnsi" w:hAnsiTheme="minorHAnsi" w:cstheme="minorHAnsi"/>
        </w:rPr>
        <w:t>del informe de resultados emitido por la o las ETFA que ejecutó(aron) la(s) actividad(es) de muestreo, medición, análisis, inspección y/o verificación, correspondientes a su compromiso ambiental.</w:t>
      </w:r>
    </w:p>
    <w:p w14:paraId="7763593D" w14:textId="77777777" w:rsidR="003272E4" w:rsidRDefault="003272E4" w:rsidP="003272E4">
      <w:pPr>
        <w:pStyle w:val="Prrafodelista"/>
        <w:numPr>
          <w:ilvl w:val="0"/>
          <w:numId w:val="25"/>
        </w:numPr>
        <w:spacing w:after="200" w:line="276" w:lineRule="auto"/>
        <w:contextualSpacing/>
        <w:jc w:val="both"/>
        <w:rPr>
          <w:rFonts w:asciiTheme="minorHAnsi" w:hAnsiTheme="minorHAnsi" w:cstheme="minorHAnsi"/>
        </w:rPr>
      </w:pPr>
      <w:r w:rsidRPr="00E34ED4">
        <w:rPr>
          <w:rFonts w:asciiTheme="minorHAnsi" w:hAnsiTheme="minorHAnsi" w:cstheme="minorHAnsi"/>
        </w:rPr>
        <w:t xml:space="preserve">Registro de autorización </w:t>
      </w:r>
      <w:r>
        <w:rPr>
          <w:rFonts w:asciiTheme="minorHAnsi" w:hAnsiTheme="minorHAnsi" w:cstheme="minorHAnsi"/>
        </w:rPr>
        <w:t xml:space="preserve">firmado por el titular, </w:t>
      </w:r>
      <w:r w:rsidRPr="00E34ED4">
        <w:rPr>
          <w:rFonts w:asciiTheme="minorHAnsi" w:hAnsiTheme="minorHAnsi" w:cstheme="minorHAnsi"/>
        </w:rPr>
        <w:t>para la subcontratación emitido a la ETFA subcontratante, indicando el detalle de los alcances subcontratados y la identificación de la o las ETFA subcontratadas</w:t>
      </w:r>
      <w:r>
        <w:rPr>
          <w:rFonts w:asciiTheme="minorHAnsi" w:hAnsiTheme="minorHAnsi" w:cstheme="minorHAnsi"/>
        </w:rPr>
        <w:t>, cuando aplique</w:t>
      </w:r>
      <w:r w:rsidRPr="00E34ED4">
        <w:rPr>
          <w:rFonts w:asciiTheme="minorHAnsi" w:hAnsiTheme="minorHAnsi" w:cstheme="minorHAnsi"/>
        </w:rPr>
        <w:t>.</w:t>
      </w:r>
      <w:r>
        <w:rPr>
          <w:rFonts w:asciiTheme="minorHAnsi" w:hAnsiTheme="minorHAnsi" w:cstheme="minorHAnsi"/>
        </w:rPr>
        <w:t xml:space="preserve"> </w:t>
      </w:r>
    </w:p>
    <w:p w14:paraId="39636475" w14:textId="70B037B7" w:rsidR="003272E4" w:rsidRDefault="003272E4" w:rsidP="003272E4">
      <w:pPr>
        <w:pStyle w:val="Prrafodelista"/>
        <w:numPr>
          <w:ilvl w:val="0"/>
          <w:numId w:val="25"/>
        </w:numPr>
        <w:spacing w:after="200" w:line="276" w:lineRule="auto"/>
        <w:contextualSpacing/>
        <w:jc w:val="both"/>
        <w:rPr>
          <w:rFonts w:asciiTheme="minorHAnsi" w:hAnsiTheme="minorHAnsi" w:cstheme="minorHAnsi"/>
        </w:rPr>
      </w:pPr>
      <w:r w:rsidRPr="00E34ED4">
        <w:rPr>
          <w:rFonts w:asciiTheme="minorHAnsi" w:hAnsiTheme="minorHAnsi" w:cstheme="minorHAnsi"/>
        </w:rPr>
        <w:t>Ante</w:t>
      </w:r>
      <w:r w:rsidRPr="00E34ED4">
        <w:rPr>
          <w:rFonts w:asciiTheme="minorHAnsi" w:hAnsiTheme="minorHAnsi" w:cstheme="minorHAnsi"/>
          <w:lang w:eastAsia="es-ES"/>
        </w:rPr>
        <w:t xml:space="preserve">cedentes que avalen la falta de capacidad </w:t>
      </w:r>
      <w:r>
        <w:rPr>
          <w:rFonts w:asciiTheme="minorHAnsi" w:hAnsiTheme="minorHAnsi" w:cstheme="minorHAnsi"/>
          <w:lang w:eastAsia="es-ES"/>
        </w:rPr>
        <w:t xml:space="preserve">o de cobertura </w:t>
      </w:r>
      <w:r w:rsidRPr="00E34ED4">
        <w:rPr>
          <w:rFonts w:asciiTheme="minorHAnsi" w:hAnsiTheme="minorHAnsi" w:cstheme="minorHAnsi"/>
          <w:lang w:eastAsia="es-ES"/>
        </w:rPr>
        <w:t>de la</w:t>
      </w:r>
      <w:r>
        <w:rPr>
          <w:rFonts w:asciiTheme="minorHAnsi" w:hAnsiTheme="minorHAnsi" w:cstheme="minorHAnsi"/>
          <w:lang w:eastAsia="es-ES"/>
        </w:rPr>
        <w:t>s</w:t>
      </w:r>
      <w:r w:rsidRPr="00E34ED4">
        <w:rPr>
          <w:rFonts w:asciiTheme="minorHAnsi" w:hAnsiTheme="minorHAnsi" w:cstheme="minorHAnsi"/>
          <w:lang w:eastAsia="es-ES"/>
        </w:rPr>
        <w:t xml:space="preserve"> ETFA </w:t>
      </w:r>
      <w:r>
        <w:rPr>
          <w:rFonts w:asciiTheme="minorHAnsi" w:hAnsiTheme="minorHAnsi" w:cstheme="minorHAnsi"/>
          <w:lang w:eastAsia="es-ES"/>
        </w:rPr>
        <w:t xml:space="preserve">autorizadas a nivel país, </w:t>
      </w:r>
      <w:r w:rsidRPr="00E34ED4">
        <w:rPr>
          <w:rFonts w:asciiTheme="minorHAnsi" w:hAnsiTheme="minorHAnsi" w:cstheme="minorHAnsi"/>
          <w:lang w:eastAsia="es-ES"/>
        </w:rPr>
        <w:t xml:space="preserve">para prestar servicios </w:t>
      </w:r>
      <w:r>
        <w:rPr>
          <w:rFonts w:asciiTheme="minorHAnsi" w:hAnsiTheme="minorHAnsi" w:cstheme="minorHAnsi"/>
          <w:lang w:eastAsia="es-ES"/>
        </w:rPr>
        <w:t>en</w:t>
      </w:r>
      <w:r w:rsidRPr="00E34ED4">
        <w:rPr>
          <w:rFonts w:asciiTheme="minorHAnsi" w:hAnsiTheme="minorHAnsi" w:cstheme="minorHAnsi"/>
          <w:lang w:eastAsia="es-ES"/>
        </w:rPr>
        <w:t xml:space="preserve"> los alcances específicos según aplique, de acuerdo a lo señalado en el </w:t>
      </w:r>
      <w:r>
        <w:rPr>
          <w:rFonts w:asciiTheme="minorHAnsi" w:hAnsiTheme="minorHAnsi" w:cstheme="minorHAnsi"/>
          <w:lang w:eastAsia="es-ES"/>
        </w:rPr>
        <w:t>punto III.</w:t>
      </w:r>
      <w:r w:rsidR="00814C6F">
        <w:rPr>
          <w:rFonts w:asciiTheme="minorHAnsi" w:hAnsiTheme="minorHAnsi" w:cstheme="minorHAnsi"/>
          <w:lang w:eastAsia="es-ES"/>
        </w:rPr>
        <w:t>4</w:t>
      </w:r>
      <w:r w:rsidRPr="00E34ED4">
        <w:rPr>
          <w:rFonts w:asciiTheme="minorHAnsi" w:hAnsiTheme="minorHAnsi" w:cstheme="minorHAnsi"/>
          <w:lang w:eastAsia="es-ES"/>
        </w:rPr>
        <w:t>.</w:t>
      </w:r>
    </w:p>
    <w:p w14:paraId="33EEFBA7" w14:textId="3511BA8A" w:rsidR="00C60D11" w:rsidRPr="003272E4" w:rsidRDefault="00C60D11" w:rsidP="003272E4">
      <w:pPr>
        <w:pStyle w:val="Prrafodelista"/>
        <w:jc w:val="both"/>
        <w:rPr>
          <w:sz w:val="16"/>
          <w:szCs w:val="16"/>
        </w:rPr>
      </w:pPr>
    </w:p>
    <w:sectPr w:rsidR="00C60D11" w:rsidRPr="003272E4" w:rsidSect="00401A4E">
      <w:headerReference w:type="default" r:id="rId16"/>
      <w:footerReference w:type="default" r:id="rId17"/>
      <w:pgSz w:w="12240" w:h="15840"/>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659A4" w14:textId="77777777" w:rsidR="00672284" w:rsidRDefault="00672284" w:rsidP="00B83549">
      <w:pPr>
        <w:spacing w:after="0" w:line="240" w:lineRule="auto"/>
      </w:pPr>
      <w:r>
        <w:separator/>
      </w:r>
    </w:p>
  </w:endnote>
  <w:endnote w:type="continuationSeparator" w:id="0">
    <w:p w14:paraId="39602F5F" w14:textId="77777777" w:rsidR="00672284" w:rsidRDefault="00672284" w:rsidP="00B83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BFBFBF" w:themeColor="background1" w:themeShade="BF"/>
        <w:sz w:val="16"/>
        <w:szCs w:val="16"/>
      </w:rPr>
      <w:id w:val="2136832977"/>
      <w:docPartObj>
        <w:docPartGallery w:val="Page Numbers (Bottom of Page)"/>
        <w:docPartUnique/>
      </w:docPartObj>
    </w:sdtPr>
    <w:sdtContent>
      <w:sdt>
        <w:sdtPr>
          <w:rPr>
            <w:color w:val="BFBFBF" w:themeColor="background1" w:themeShade="BF"/>
            <w:sz w:val="16"/>
            <w:szCs w:val="16"/>
          </w:rPr>
          <w:id w:val="-1769616900"/>
          <w:docPartObj>
            <w:docPartGallery w:val="Page Numbers (Top of Page)"/>
            <w:docPartUnique/>
          </w:docPartObj>
        </w:sdtPr>
        <w:sdtContent>
          <w:p w14:paraId="7FD9387B" w14:textId="77777777" w:rsidR="00170A2F" w:rsidRPr="00DF4E18" w:rsidRDefault="00170A2F">
            <w:pPr>
              <w:pStyle w:val="Piedepgina"/>
              <w:jc w:val="right"/>
              <w:rPr>
                <w:b/>
                <w:bCs/>
                <w:color w:val="BFBFBF" w:themeColor="background1" w:themeShade="BF"/>
                <w:sz w:val="16"/>
                <w:szCs w:val="16"/>
              </w:rPr>
            </w:pPr>
            <w:r w:rsidRPr="00DF4E18">
              <w:rPr>
                <w:rFonts w:cstheme="minorHAnsi"/>
                <w:b/>
                <w:color w:val="BFBFBF" w:themeColor="background1" w:themeShade="BF"/>
                <w:sz w:val="16"/>
                <w:szCs w:val="16"/>
              </w:rPr>
              <w:t xml:space="preserve">                                                                    Superintendencia del Medio Ambiente – Gobierno de Chile                                  </w:t>
            </w:r>
            <w:r w:rsidR="00B83549" w:rsidRPr="00DF4E18">
              <w:rPr>
                <w:color w:val="BFBFBF" w:themeColor="background1" w:themeShade="BF"/>
                <w:sz w:val="16"/>
                <w:szCs w:val="16"/>
                <w:lang w:val="es-ES"/>
              </w:rPr>
              <w:t xml:space="preserve">Página </w:t>
            </w:r>
            <w:r w:rsidR="00B83549" w:rsidRPr="00DF4E18">
              <w:rPr>
                <w:b/>
                <w:bCs/>
                <w:color w:val="BFBFBF" w:themeColor="background1" w:themeShade="BF"/>
                <w:sz w:val="16"/>
                <w:szCs w:val="16"/>
              </w:rPr>
              <w:fldChar w:fldCharType="begin"/>
            </w:r>
            <w:r w:rsidR="00B83549" w:rsidRPr="00DF4E18">
              <w:rPr>
                <w:b/>
                <w:bCs/>
                <w:color w:val="BFBFBF" w:themeColor="background1" w:themeShade="BF"/>
                <w:sz w:val="16"/>
                <w:szCs w:val="16"/>
              </w:rPr>
              <w:instrText>PAGE</w:instrText>
            </w:r>
            <w:r w:rsidR="00B83549" w:rsidRPr="00DF4E18">
              <w:rPr>
                <w:b/>
                <w:bCs/>
                <w:color w:val="BFBFBF" w:themeColor="background1" w:themeShade="BF"/>
                <w:sz w:val="16"/>
                <w:szCs w:val="16"/>
              </w:rPr>
              <w:fldChar w:fldCharType="separate"/>
            </w:r>
            <w:r w:rsidR="00721BE0" w:rsidRPr="00DF4E18">
              <w:rPr>
                <w:b/>
                <w:bCs/>
                <w:noProof/>
                <w:color w:val="BFBFBF" w:themeColor="background1" w:themeShade="BF"/>
                <w:sz w:val="16"/>
                <w:szCs w:val="16"/>
              </w:rPr>
              <w:t>6</w:t>
            </w:r>
            <w:r w:rsidR="00B83549" w:rsidRPr="00DF4E18">
              <w:rPr>
                <w:b/>
                <w:bCs/>
                <w:color w:val="BFBFBF" w:themeColor="background1" w:themeShade="BF"/>
                <w:sz w:val="16"/>
                <w:szCs w:val="16"/>
              </w:rPr>
              <w:fldChar w:fldCharType="end"/>
            </w:r>
            <w:r w:rsidR="00B83549" w:rsidRPr="00DF4E18">
              <w:rPr>
                <w:color w:val="BFBFBF" w:themeColor="background1" w:themeShade="BF"/>
                <w:sz w:val="16"/>
                <w:szCs w:val="16"/>
                <w:lang w:val="es-ES"/>
              </w:rPr>
              <w:t xml:space="preserve"> de </w:t>
            </w:r>
            <w:r w:rsidR="00B83549" w:rsidRPr="00DF4E18">
              <w:rPr>
                <w:b/>
                <w:bCs/>
                <w:color w:val="BFBFBF" w:themeColor="background1" w:themeShade="BF"/>
                <w:sz w:val="16"/>
                <w:szCs w:val="16"/>
              </w:rPr>
              <w:fldChar w:fldCharType="begin"/>
            </w:r>
            <w:r w:rsidR="00B83549" w:rsidRPr="00DF4E18">
              <w:rPr>
                <w:b/>
                <w:bCs/>
                <w:color w:val="BFBFBF" w:themeColor="background1" w:themeShade="BF"/>
                <w:sz w:val="16"/>
                <w:szCs w:val="16"/>
              </w:rPr>
              <w:instrText>NUMPAGES</w:instrText>
            </w:r>
            <w:r w:rsidR="00B83549" w:rsidRPr="00DF4E18">
              <w:rPr>
                <w:b/>
                <w:bCs/>
                <w:color w:val="BFBFBF" w:themeColor="background1" w:themeShade="BF"/>
                <w:sz w:val="16"/>
                <w:szCs w:val="16"/>
              </w:rPr>
              <w:fldChar w:fldCharType="separate"/>
            </w:r>
            <w:r w:rsidR="00721BE0" w:rsidRPr="00DF4E18">
              <w:rPr>
                <w:b/>
                <w:bCs/>
                <w:noProof/>
                <w:color w:val="BFBFBF" w:themeColor="background1" w:themeShade="BF"/>
                <w:sz w:val="16"/>
                <w:szCs w:val="16"/>
              </w:rPr>
              <w:t>6</w:t>
            </w:r>
            <w:r w:rsidR="00B83549" w:rsidRPr="00DF4E18">
              <w:rPr>
                <w:b/>
                <w:bCs/>
                <w:color w:val="BFBFBF" w:themeColor="background1" w:themeShade="BF"/>
                <w:sz w:val="16"/>
                <w:szCs w:val="16"/>
              </w:rPr>
              <w:fldChar w:fldCharType="end"/>
            </w:r>
          </w:p>
          <w:p w14:paraId="4B58BC9F" w14:textId="77777777" w:rsidR="00170A2F" w:rsidRPr="00DF4E18" w:rsidRDefault="00170A2F" w:rsidP="00170A2F">
            <w:pPr>
              <w:pStyle w:val="Piedepgina"/>
              <w:jc w:val="center"/>
              <w:rPr>
                <w:b/>
                <w:bCs/>
                <w:color w:val="BFBFBF" w:themeColor="background1" w:themeShade="BF"/>
                <w:sz w:val="16"/>
                <w:szCs w:val="16"/>
              </w:rPr>
            </w:pPr>
            <w:r w:rsidRPr="00DF4E18">
              <w:rPr>
                <w:b/>
                <w:bCs/>
                <w:color w:val="BFBFBF" w:themeColor="background1" w:themeShade="BF"/>
                <w:sz w:val="16"/>
                <w:szCs w:val="16"/>
              </w:rPr>
              <w:t xml:space="preserve">Teatinos 280, pisos 7, 8 y 9. Santiago   </w:t>
            </w:r>
            <w:hyperlink r:id="rId1" w:history="1">
              <w:r w:rsidRPr="00DF4E18">
                <w:rPr>
                  <w:rStyle w:val="Hipervnculo"/>
                  <w:b/>
                  <w:bCs/>
                  <w:color w:val="BFBFBF" w:themeColor="background1" w:themeShade="BF"/>
                  <w:sz w:val="16"/>
                  <w:szCs w:val="16"/>
                </w:rPr>
                <w:t>www.sma.gob.cl</w:t>
              </w:r>
            </w:hyperlink>
          </w:p>
          <w:p w14:paraId="2648F602" w14:textId="5E58C1CB" w:rsidR="00B83549" w:rsidRPr="00DF4E18" w:rsidRDefault="00DF4E18" w:rsidP="00170A2F">
            <w:pPr>
              <w:pStyle w:val="Piedepgina"/>
              <w:jc w:val="center"/>
              <w:rPr>
                <w:color w:val="BFBFBF" w:themeColor="background1" w:themeShade="BF"/>
                <w:sz w:val="16"/>
                <w:szCs w:val="16"/>
              </w:rPr>
            </w:pPr>
            <w:hyperlink r:id="rId2" w:history="1">
              <w:r w:rsidRPr="00DF4E18">
                <w:rPr>
                  <w:rStyle w:val="Hipervnculo"/>
                  <w:b/>
                  <w:bCs/>
                  <w:color w:val="BFBFBF" w:themeColor="background1" w:themeShade="BF"/>
                  <w:sz w:val="16"/>
                  <w:szCs w:val="16"/>
                  <w:u w:val="none"/>
                  <w:lang w:val="en-US"/>
                </w:rPr>
                <w:t xml:space="preserve">registroentidades@sma.gob.cl- </w:t>
              </w:r>
              <w:proofErr w:type="spellStart"/>
              <w:r w:rsidRPr="00DF4E18">
                <w:rPr>
                  <w:rStyle w:val="Hipervnculo"/>
                  <w:b/>
                  <w:bCs/>
                  <w:color w:val="BFBFBF" w:themeColor="background1" w:themeShade="BF"/>
                  <w:sz w:val="16"/>
                  <w:szCs w:val="16"/>
                  <w:u w:val="none"/>
                  <w:lang w:val="en-US"/>
                </w:rPr>
                <w:t>Preguntas</w:t>
              </w:r>
              <w:proofErr w:type="spellEnd"/>
            </w:hyperlink>
            <w:r w:rsidRPr="00DF4E18">
              <w:rPr>
                <w:b/>
                <w:bCs/>
                <w:color w:val="BFBFBF" w:themeColor="background1" w:themeShade="BF"/>
                <w:sz w:val="16"/>
                <w:szCs w:val="16"/>
                <w:lang w:val="en-US"/>
              </w:rPr>
              <w:t xml:space="preserve"> </w:t>
            </w:r>
            <w:proofErr w:type="spellStart"/>
            <w:r w:rsidRPr="00DF4E18">
              <w:rPr>
                <w:b/>
                <w:bCs/>
                <w:color w:val="BFBFBF" w:themeColor="background1" w:themeShade="BF"/>
                <w:sz w:val="16"/>
                <w:szCs w:val="16"/>
                <w:lang w:val="en-US"/>
              </w:rPr>
              <w:t>frecuentes</w:t>
            </w:r>
            <w:proofErr w:type="spellEnd"/>
            <w:r w:rsidRPr="00DF4E18">
              <w:rPr>
                <w:b/>
                <w:bCs/>
                <w:color w:val="BFBFBF" w:themeColor="background1" w:themeShade="BF"/>
                <w:sz w:val="16"/>
                <w:szCs w:val="16"/>
                <w:lang w:val="en-US"/>
              </w:rPr>
              <w:t xml:space="preserve"> V.09</w:t>
            </w:r>
          </w:p>
        </w:sdtContent>
      </w:sdt>
    </w:sdtContent>
  </w:sdt>
  <w:p w14:paraId="581260D3" w14:textId="77777777" w:rsidR="00B83549" w:rsidRPr="00DF4E18" w:rsidRDefault="00B83549">
    <w:pPr>
      <w:pStyle w:val="Piedepgina"/>
      <w:rPr>
        <w:color w:val="BFBFBF" w:themeColor="background1" w:themeShade="B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E4717" w14:textId="77777777" w:rsidR="00672284" w:rsidRDefault="00672284" w:rsidP="00B83549">
      <w:pPr>
        <w:spacing w:after="0" w:line="240" w:lineRule="auto"/>
      </w:pPr>
      <w:r>
        <w:separator/>
      </w:r>
    </w:p>
  </w:footnote>
  <w:footnote w:type="continuationSeparator" w:id="0">
    <w:p w14:paraId="7A7EC5D8" w14:textId="77777777" w:rsidR="00672284" w:rsidRDefault="00672284" w:rsidP="00B835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5889D" w14:textId="77777777" w:rsidR="00B83549" w:rsidRDefault="00B83549">
    <w:pPr>
      <w:pStyle w:val="Encabezado"/>
    </w:pPr>
    <w:r>
      <w:rPr>
        <w:noProof/>
        <w:lang w:eastAsia="es-CL"/>
      </w:rPr>
      <w:drawing>
        <wp:anchor distT="0" distB="0" distL="114300" distR="114300" simplePos="0" relativeHeight="251659264" behindDoc="1" locked="0" layoutInCell="1" allowOverlap="1" wp14:anchorId="706CA9B6" wp14:editId="13B79525">
          <wp:simplePos x="0" y="0"/>
          <wp:positionH relativeFrom="margin">
            <wp:align>right</wp:align>
          </wp:positionH>
          <wp:positionV relativeFrom="paragraph">
            <wp:posOffset>-162560</wp:posOffset>
          </wp:positionV>
          <wp:extent cx="723900" cy="722630"/>
          <wp:effectExtent l="0" t="0" r="0" b="1270"/>
          <wp:wrapThrough wrapText="bothSides">
            <wp:wrapPolygon edited="0">
              <wp:start x="0" y="0"/>
              <wp:lineTo x="0" y="21069"/>
              <wp:lineTo x="21032" y="21069"/>
              <wp:lineTo x="21032" y="0"/>
              <wp:lineTo x="0" y="0"/>
            </wp:wrapPolygon>
          </wp:wrapThrough>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7226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noProof/>
        <w:lang w:eastAsia="es-CL"/>
      </w:rPr>
      <w:drawing>
        <wp:inline distT="0" distB="0" distL="0" distR="0" wp14:anchorId="04E160D2" wp14:editId="554C0A7D">
          <wp:extent cx="2495550" cy="618664"/>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p w14:paraId="7016EE1C" w14:textId="77777777" w:rsidR="00B83549" w:rsidRDefault="00B8354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6F7F"/>
    <w:multiLevelType w:val="hybridMultilevel"/>
    <w:tmpl w:val="34B8D9C4"/>
    <w:lvl w:ilvl="0" w:tplc="340A001B">
      <w:start w:val="1"/>
      <w:numFmt w:val="lowerRoman"/>
      <w:lvlText w:val="%1."/>
      <w:lvlJc w:val="right"/>
      <w:pPr>
        <w:ind w:left="1215" w:hanging="360"/>
      </w:pPr>
    </w:lvl>
    <w:lvl w:ilvl="1" w:tplc="340A0019" w:tentative="1">
      <w:start w:val="1"/>
      <w:numFmt w:val="lowerLetter"/>
      <w:lvlText w:val="%2."/>
      <w:lvlJc w:val="left"/>
      <w:pPr>
        <w:ind w:left="1935" w:hanging="360"/>
      </w:pPr>
    </w:lvl>
    <w:lvl w:ilvl="2" w:tplc="340A001B" w:tentative="1">
      <w:start w:val="1"/>
      <w:numFmt w:val="lowerRoman"/>
      <w:lvlText w:val="%3."/>
      <w:lvlJc w:val="right"/>
      <w:pPr>
        <w:ind w:left="2655" w:hanging="180"/>
      </w:pPr>
    </w:lvl>
    <w:lvl w:ilvl="3" w:tplc="340A000F" w:tentative="1">
      <w:start w:val="1"/>
      <w:numFmt w:val="decimal"/>
      <w:lvlText w:val="%4."/>
      <w:lvlJc w:val="left"/>
      <w:pPr>
        <w:ind w:left="3375" w:hanging="360"/>
      </w:pPr>
    </w:lvl>
    <w:lvl w:ilvl="4" w:tplc="340A0019" w:tentative="1">
      <w:start w:val="1"/>
      <w:numFmt w:val="lowerLetter"/>
      <w:lvlText w:val="%5."/>
      <w:lvlJc w:val="left"/>
      <w:pPr>
        <w:ind w:left="4095" w:hanging="360"/>
      </w:pPr>
    </w:lvl>
    <w:lvl w:ilvl="5" w:tplc="340A001B" w:tentative="1">
      <w:start w:val="1"/>
      <w:numFmt w:val="lowerRoman"/>
      <w:lvlText w:val="%6."/>
      <w:lvlJc w:val="right"/>
      <w:pPr>
        <w:ind w:left="4815" w:hanging="180"/>
      </w:pPr>
    </w:lvl>
    <w:lvl w:ilvl="6" w:tplc="340A000F" w:tentative="1">
      <w:start w:val="1"/>
      <w:numFmt w:val="decimal"/>
      <w:lvlText w:val="%7."/>
      <w:lvlJc w:val="left"/>
      <w:pPr>
        <w:ind w:left="5535" w:hanging="360"/>
      </w:pPr>
    </w:lvl>
    <w:lvl w:ilvl="7" w:tplc="340A0019" w:tentative="1">
      <w:start w:val="1"/>
      <w:numFmt w:val="lowerLetter"/>
      <w:lvlText w:val="%8."/>
      <w:lvlJc w:val="left"/>
      <w:pPr>
        <w:ind w:left="6255" w:hanging="360"/>
      </w:pPr>
    </w:lvl>
    <w:lvl w:ilvl="8" w:tplc="340A001B" w:tentative="1">
      <w:start w:val="1"/>
      <w:numFmt w:val="lowerRoman"/>
      <w:lvlText w:val="%9."/>
      <w:lvlJc w:val="right"/>
      <w:pPr>
        <w:ind w:left="6975" w:hanging="180"/>
      </w:pPr>
    </w:lvl>
  </w:abstractNum>
  <w:abstractNum w:abstractNumId="1" w15:restartNumberingAfterBreak="0">
    <w:nsid w:val="05D43A22"/>
    <w:multiLevelType w:val="hybridMultilevel"/>
    <w:tmpl w:val="C26AFD2E"/>
    <w:lvl w:ilvl="0" w:tplc="340A0017">
      <w:start w:val="1"/>
      <w:numFmt w:val="lowerLetter"/>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A396EF5"/>
    <w:multiLevelType w:val="hybridMultilevel"/>
    <w:tmpl w:val="6CE27BD2"/>
    <w:lvl w:ilvl="0" w:tplc="D5722628">
      <w:start w:val="1"/>
      <w:numFmt w:val="decimal"/>
      <w:lvlText w:val="%1."/>
      <w:lvlJc w:val="left"/>
      <w:pPr>
        <w:ind w:left="360" w:hanging="360"/>
      </w:pPr>
      <w:rPr>
        <w:b/>
      </w:r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start w:val="1"/>
      <w:numFmt w:val="decimal"/>
      <w:lvlText w:val="%4."/>
      <w:lvlJc w:val="left"/>
      <w:pPr>
        <w:ind w:left="2520" w:hanging="360"/>
      </w:pPr>
    </w:lvl>
    <w:lvl w:ilvl="4" w:tplc="340A0019">
      <w:start w:val="1"/>
      <w:numFmt w:val="lowerLetter"/>
      <w:lvlText w:val="%5."/>
      <w:lvlJc w:val="left"/>
      <w:pPr>
        <w:ind w:left="3240" w:hanging="360"/>
      </w:pPr>
    </w:lvl>
    <w:lvl w:ilvl="5" w:tplc="340A001B">
      <w:start w:val="1"/>
      <w:numFmt w:val="lowerRoman"/>
      <w:lvlText w:val="%6."/>
      <w:lvlJc w:val="right"/>
      <w:pPr>
        <w:ind w:left="3960" w:hanging="180"/>
      </w:pPr>
    </w:lvl>
    <w:lvl w:ilvl="6" w:tplc="340A000F">
      <w:start w:val="1"/>
      <w:numFmt w:val="decimal"/>
      <w:lvlText w:val="%7."/>
      <w:lvlJc w:val="left"/>
      <w:pPr>
        <w:ind w:left="4680" w:hanging="360"/>
      </w:pPr>
    </w:lvl>
    <w:lvl w:ilvl="7" w:tplc="340A0019">
      <w:start w:val="1"/>
      <w:numFmt w:val="lowerLetter"/>
      <w:lvlText w:val="%8."/>
      <w:lvlJc w:val="left"/>
      <w:pPr>
        <w:ind w:left="5400" w:hanging="360"/>
      </w:pPr>
    </w:lvl>
    <w:lvl w:ilvl="8" w:tplc="340A001B">
      <w:start w:val="1"/>
      <w:numFmt w:val="lowerRoman"/>
      <w:lvlText w:val="%9."/>
      <w:lvlJc w:val="right"/>
      <w:pPr>
        <w:ind w:left="6120" w:hanging="180"/>
      </w:pPr>
    </w:lvl>
  </w:abstractNum>
  <w:abstractNum w:abstractNumId="3" w15:restartNumberingAfterBreak="0">
    <w:nsid w:val="0F597C1B"/>
    <w:multiLevelType w:val="hybridMultilevel"/>
    <w:tmpl w:val="BA98D584"/>
    <w:lvl w:ilvl="0" w:tplc="340A0001">
      <w:start w:val="1"/>
      <w:numFmt w:val="bullet"/>
      <w:lvlText w:val=""/>
      <w:lvlJc w:val="left"/>
      <w:pPr>
        <w:ind w:left="1440" w:hanging="360"/>
      </w:pPr>
      <w:rPr>
        <w:rFonts w:ascii="Symbol" w:hAnsi="Symbol" w:hint="default"/>
      </w:rPr>
    </w:lvl>
    <w:lvl w:ilvl="1" w:tplc="340A0003">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4" w15:restartNumberingAfterBreak="0">
    <w:nsid w:val="1E443DC2"/>
    <w:multiLevelType w:val="hybridMultilevel"/>
    <w:tmpl w:val="8802306C"/>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5" w15:restartNumberingAfterBreak="0">
    <w:nsid w:val="2166077F"/>
    <w:multiLevelType w:val="hybridMultilevel"/>
    <w:tmpl w:val="07B8755A"/>
    <w:lvl w:ilvl="0" w:tplc="79205292">
      <w:start w:val="1"/>
      <w:numFmt w:val="decimal"/>
      <w:lvlText w:val="%1."/>
      <w:lvlJc w:val="left"/>
      <w:pPr>
        <w:ind w:left="720" w:hanging="360"/>
      </w:pPr>
      <w:rPr>
        <w:rFonts w:asciiTheme="minorHAnsi" w:hAnsiTheme="minorHAnsi" w:cstheme="minorHAnsi"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1D35E1A"/>
    <w:multiLevelType w:val="hybridMultilevel"/>
    <w:tmpl w:val="9B3CE99C"/>
    <w:lvl w:ilvl="0" w:tplc="340A0001">
      <w:start w:val="1"/>
      <w:numFmt w:val="bullet"/>
      <w:lvlText w:val=""/>
      <w:lvlJc w:val="left"/>
      <w:pPr>
        <w:ind w:left="1440" w:hanging="360"/>
      </w:pPr>
      <w:rPr>
        <w:rFonts w:ascii="Symbol" w:hAnsi="Symbol" w:hint="default"/>
      </w:rPr>
    </w:lvl>
    <w:lvl w:ilvl="1" w:tplc="340A0003">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7" w15:restartNumberingAfterBreak="0">
    <w:nsid w:val="2E7573D1"/>
    <w:multiLevelType w:val="hybridMultilevel"/>
    <w:tmpl w:val="F678DF80"/>
    <w:lvl w:ilvl="0" w:tplc="340A0013">
      <w:start w:val="1"/>
      <w:numFmt w:val="upperRoman"/>
      <w:lvlText w:val="%1."/>
      <w:lvlJc w:val="right"/>
      <w:pPr>
        <w:ind w:left="1724" w:hanging="360"/>
      </w:pPr>
    </w:lvl>
    <w:lvl w:ilvl="1" w:tplc="340A0019" w:tentative="1">
      <w:start w:val="1"/>
      <w:numFmt w:val="lowerLetter"/>
      <w:lvlText w:val="%2."/>
      <w:lvlJc w:val="left"/>
      <w:pPr>
        <w:ind w:left="2444" w:hanging="360"/>
      </w:pPr>
    </w:lvl>
    <w:lvl w:ilvl="2" w:tplc="340A001B" w:tentative="1">
      <w:start w:val="1"/>
      <w:numFmt w:val="lowerRoman"/>
      <w:lvlText w:val="%3."/>
      <w:lvlJc w:val="right"/>
      <w:pPr>
        <w:ind w:left="3164" w:hanging="180"/>
      </w:pPr>
    </w:lvl>
    <w:lvl w:ilvl="3" w:tplc="340A000F" w:tentative="1">
      <w:start w:val="1"/>
      <w:numFmt w:val="decimal"/>
      <w:lvlText w:val="%4."/>
      <w:lvlJc w:val="left"/>
      <w:pPr>
        <w:ind w:left="3884" w:hanging="360"/>
      </w:pPr>
    </w:lvl>
    <w:lvl w:ilvl="4" w:tplc="340A0019" w:tentative="1">
      <w:start w:val="1"/>
      <w:numFmt w:val="lowerLetter"/>
      <w:lvlText w:val="%5."/>
      <w:lvlJc w:val="left"/>
      <w:pPr>
        <w:ind w:left="4604" w:hanging="360"/>
      </w:pPr>
    </w:lvl>
    <w:lvl w:ilvl="5" w:tplc="340A001B" w:tentative="1">
      <w:start w:val="1"/>
      <w:numFmt w:val="lowerRoman"/>
      <w:lvlText w:val="%6."/>
      <w:lvlJc w:val="right"/>
      <w:pPr>
        <w:ind w:left="5324" w:hanging="180"/>
      </w:pPr>
    </w:lvl>
    <w:lvl w:ilvl="6" w:tplc="340A000F" w:tentative="1">
      <w:start w:val="1"/>
      <w:numFmt w:val="decimal"/>
      <w:lvlText w:val="%7."/>
      <w:lvlJc w:val="left"/>
      <w:pPr>
        <w:ind w:left="6044" w:hanging="360"/>
      </w:pPr>
    </w:lvl>
    <w:lvl w:ilvl="7" w:tplc="340A0019" w:tentative="1">
      <w:start w:val="1"/>
      <w:numFmt w:val="lowerLetter"/>
      <w:lvlText w:val="%8."/>
      <w:lvlJc w:val="left"/>
      <w:pPr>
        <w:ind w:left="6764" w:hanging="360"/>
      </w:pPr>
    </w:lvl>
    <w:lvl w:ilvl="8" w:tplc="340A001B" w:tentative="1">
      <w:start w:val="1"/>
      <w:numFmt w:val="lowerRoman"/>
      <w:lvlText w:val="%9."/>
      <w:lvlJc w:val="right"/>
      <w:pPr>
        <w:ind w:left="7484" w:hanging="180"/>
      </w:pPr>
    </w:lvl>
  </w:abstractNum>
  <w:abstractNum w:abstractNumId="8" w15:restartNumberingAfterBreak="0">
    <w:nsid w:val="3F084FCD"/>
    <w:multiLevelType w:val="multilevel"/>
    <w:tmpl w:val="340A0025"/>
    <w:lvl w:ilvl="0">
      <w:start w:val="1"/>
      <w:numFmt w:val="decimal"/>
      <w:pStyle w:val="Ttulo1"/>
      <w:lvlText w:val="%1"/>
      <w:lvlJc w:val="left"/>
      <w:pPr>
        <w:ind w:left="1140" w:hanging="432"/>
      </w:pPr>
    </w:lvl>
    <w:lvl w:ilvl="1">
      <w:start w:val="1"/>
      <w:numFmt w:val="decimal"/>
      <w:pStyle w:val="Ttulo2"/>
      <w:lvlText w:val="%1.%2"/>
      <w:lvlJc w:val="left"/>
      <w:pPr>
        <w:ind w:left="1284" w:hanging="576"/>
      </w:pPr>
    </w:lvl>
    <w:lvl w:ilvl="2">
      <w:start w:val="1"/>
      <w:numFmt w:val="decimal"/>
      <w:pStyle w:val="Ttulo3"/>
      <w:lvlText w:val="%1.%2.%3"/>
      <w:lvlJc w:val="left"/>
      <w:pPr>
        <w:ind w:left="1428" w:hanging="720"/>
      </w:pPr>
    </w:lvl>
    <w:lvl w:ilvl="3">
      <w:start w:val="1"/>
      <w:numFmt w:val="decimal"/>
      <w:pStyle w:val="Ttulo4"/>
      <w:lvlText w:val="%1.%2.%3.%4"/>
      <w:lvlJc w:val="left"/>
      <w:pPr>
        <w:ind w:left="1572" w:hanging="864"/>
      </w:pPr>
    </w:lvl>
    <w:lvl w:ilvl="4">
      <w:start w:val="1"/>
      <w:numFmt w:val="decimal"/>
      <w:pStyle w:val="Ttulo5"/>
      <w:lvlText w:val="%1.%2.%3.%4.%5"/>
      <w:lvlJc w:val="left"/>
      <w:pPr>
        <w:ind w:left="1716" w:hanging="1008"/>
      </w:pPr>
    </w:lvl>
    <w:lvl w:ilvl="5">
      <w:start w:val="1"/>
      <w:numFmt w:val="decimal"/>
      <w:pStyle w:val="Ttulo6"/>
      <w:lvlText w:val="%1.%2.%3.%4.%5.%6"/>
      <w:lvlJc w:val="left"/>
      <w:pPr>
        <w:ind w:left="1860" w:hanging="1152"/>
      </w:pPr>
    </w:lvl>
    <w:lvl w:ilvl="6">
      <w:start w:val="1"/>
      <w:numFmt w:val="decimal"/>
      <w:pStyle w:val="Ttulo7"/>
      <w:lvlText w:val="%1.%2.%3.%4.%5.%6.%7"/>
      <w:lvlJc w:val="left"/>
      <w:pPr>
        <w:ind w:left="2004" w:hanging="1296"/>
      </w:pPr>
    </w:lvl>
    <w:lvl w:ilvl="7">
      <w:start w:val="1"/>
      <w:numFmt w:val="decimal"/>
      <w:pStyle w:val="Ttulo8"/>
      <w:lvlText w:val="%1.%2.%3.%4.%5.%6.%7.%8"/>
      <w:lvlJc w:val="left"/>
      <w:pPr>
        <w:ind w:left="2148" w:hanging="1440"/>
      </w:pPr>
    </w:lvl>
    <w:lvl w:ilvl="8">
      <w:start w:val="1"/>
      <w:numFmt w:val="decimal"/>
      <w:pStyle w:val="Ttulo9"/>
      <w:lvlText w:val="%1.%2.%3.%4.%5.%6.%7.%8.%9"/>
      <w:lvlJc w:val="left"/>
      <w:pPr>
        <w:ind w:left="2292" w:hanging="1584"/>
      </w:pPr>
    </w:lvl>
  </w:abstractNum>
  <w:abstractNum w:abstractNumId="9" w15:restartNumberingAfterBreak="0">
    <w:nsid w:val="40182A04"/>
    <w:multiLevelType w:val="hybridMultilevel"/>
    <w:tmpl w:val="3FD675D6"/>
    <w:lvl w:ilvl="0" w:tplc="340A001B">
      <w:start w:val="1"/>
      <w:numFmt w:val="lowerRoman"/>
      <w:lvlText w:val="%1."/>
      <w:lvlJc w:val="right"/>
      <w:pPr>
        <w:ind w:left="2444" w:hanging="360"/>
      </w:pPr>
    </w:lvl>
    <w:lvl w:ilvl="1" w:tplc="340A0019" w:tentative="1">
      <w:start w:val="1"/>
      <w:numFmt w:val="lowerLetter"/>
      <w:lvlText w:val="%2."/>
      <w:lvlJc w:val="left"/>
      <w:pPr>
        <w:ind w:left="3164" w:hanging="360"/>
      </w:pPr>
    </w:lvl>
    <w:lvl w:ilvl="2" w:tplc="340A001B" w:tentative="1">
      <w:start w:val="1"/>
      <w:numFmt w:val="lowerRoman"/>
      <w:lvlText w:val="%3."/>
      <w:lvlJc w:val="right"/>
      <w:pPr>
        <w:ind w:left="3884" w:hanging="180"/>
      </w:pPr>
    </w:lvl>
    <w:lvl w:ilvl="3" w:tplc="340A000F" w:tentative="1">
      <w:start w:val="1"/>
      <w:numFmt w:val="decimal"/>
      <w:lvlText w:val="%4."/>
      <w:lvlJc w:val="left"/>
      <w:pPr>
        <w:ind w:left="4604" w:hanging="360"/>
      </w:pPr>
    </w:lvl>
    <w:lvl w:ilvl="4" w:tplc="340A0019" w:tentative="1">
      <w:start w:val="1"/>
      <w:numFmt w:val="lowerLetter"/>
      <w:lvlText w:val="%5."/>
      <w:lvlJc w:val="left"/>
      <w:pPr>
        <w:ind w:left="5324" w:hanging="360"/>
      </w:pPr>
    </w:lvl>
    <w:lvl w:ilvl="5" w:tplc="340A001B" w:tentative="1">
      <w:start w:val="1"/>
      <w:numFmt w:val="lowerRoman"/>
      <w:lvlText w:val="%6."/>
      <w:lvlJc w:val="right"/>
      <w:pPr>
        <w:ind w:left="6044" w:hanging="180"/>
      </w:pPr>
    </w:lvl>
    <w:lvl w:ilvl="6" w:tplc="340A000F" w:tentative="1">
      <w:start w:val="1"/>
      <w:numFmt w:val="decimal"/>
      <w:lvlText w:val="%7."/>
      <w:lvlJc w:val="left"/>
      <w:pPr>
        <w:ind w:left="6764" w:hanging="360"/>
      </w:pPr>
    </w:lvl>
    <w:lvl w:ilvl="7" w:tplc="340A0019" w:tentative="1">
      <w:start w:val="1"/>
      <w:numFmt w:val="lowerLetter"/>
      <w:lvlText w:val="%8."/>
      <w:lvlJc w:val="left"/>
      <w:pPr>
        <w:ind w:left="7484" w:hanging="360"/>
      </w:pPr>
    </w:lvl>
    <w:lvl w:ilvl="8" w:tplc="340A001B" w:tentative="1">
      <w:start w:val="1"/>
      <w:numFmt w:val="lowerRoman"/>
      <w:lvlText w:val="%9."/>
      <w:lvlJc w:val="right"/>
      <w:pPr>
        <w:ind w:left="8204" w:hanging="180"/>
      </w:pPr>
    </w:lvl>
  </w:abstractNum>
  <w:abstractNum w:abstractNumId="10" w15:restartNumberingAfterBreak="0">
    <w:nsid w:val="41884BB2"/>
    <w:multiLevelType w:val="hybridMultilevel"/>
    <w:tmpl w:val="2F6E1C9C"/>
    <w:lvl w:ilvl="0" w:tplc="340A000F">
      <w:start w:val="1"/>
      <w:numFmt w:val="decimal"/>
      <w:lvlText w:val="%1."/>
      <w:lvlJc w:val="left"/>
      <w:pPr>
        <w:ind w:left="360" w:hanging="360"/>
      </w:p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start w:val="1"/>
      <w:numFmt w:val="decimal"/>
      <w:lvlText w:val="%4."/>
      <w:lvlJc w:val="left"/>
      <w:pPr>
        <w:ind w:left="2520" w:hanging="360"/>
      </w:pPr>
    </w:lvl>
    <w:lvl w:ilvl="4" w:tplc="340A0019">
      <w:start w:val="1"/>
      <w:numFmt w:val="lowerLetter"/>
      <w:lvlText w:val="%5."/>
      <w:lvlJc w:val="left"/>
      <w:pPr>
        <w:ind w:left="3240" w:hanging="360"/>
      </w:pPr>
    </w:lvl>
    <w:lvl w:ilvl="5" w:tplc="340A001B">
      <w:start w:val="1"/>
      <w:numFmt w:val="lowerRoman"/>
      <w:lvlText w:val="%6."/>
      <w:lvlJc w:val="right"/>
      <w:pPr>
        <w:ind w:left="3960" w:hanging="180"/>
      </w:pPr>
    </w:lvl>
    <w:lvl w:ilvl="6" w:tplc="340A000F">
      <w:start w:val="1"/>
      <w:numFmt w:val="decimal"/>
      <w:lvlText w:val="%7."/>
      <w:lvlJc w:val="left"/>
      <w:pPr>
        <w:ind w:left="4680" w:hanging="360"/>
      </w:pPr>
    </w:lvl>
    <w:lvl w:ilvl="7" w:tplc="340A0019">
      <w:start w:val="1"/>
      <w:numFmt w:val="lowerLetter"/>
      <w:lvlText w:val="%8."/>
      <w:lvlJc w:val="left"/>
      <w:pPr>
        <w:ind w:left="5400" w:hanging="360"/>
      </w:pPr>
    </w:lvl>
    <w:lvl w:ilvl="8" w:tplc="340A001B">
      <w:start w:val="1"/>
      <w:numFmt w:val="lowerRoman"/>
      <w:lvlText w:val="%9."/>
      <w:lvlJc w:val="right"/>
      <w:pPr>
        <w:ind w:left="6120" w:hanging="180"/>
      </w:pPr>
    </w:lvl>
  </w:abstractNum>
  <w:abstractNum w:abstractNumId="11" w15:restartNumberingAfterBreak="0">
    <w:nsid w:val="4D13217B"/>
    <w:multiLevelType w:val="hybridMultilevel"/>
    <w:tmpl w:val="45CE4D2E"/>
    <w:lvl w:ilvl="0" w:tplc="340A000D">
      <w:start w:val="1"/>
      <w:numFmt w:val="bullet"/>
      <w:lvlText w:val=""/>
      <w:lvlJc w:val="left"/>
      <w:pPr>
        <w:ind w:left="1068" w:hanging="360"/>
      </w:pPr>
      <w:rPr>
        <w:rFonts w:ascii="Wingdings" w:hAnsi="Wingdings"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12" w15:restartNumberingAfterBreak="0">
    <w:nsid w:val="553F1898"/>
    <w:multiLevelType w:val="hybridMultilevel"/>
    <w:tmpl w:val="6EF2C280"/>
    <w:lvl w:ilvl="0" w:tplc="340A0001">
      <w:start w:val="1"/>
      <w:numFmt w:val="bullet"/>
      <w:lvlText w:val=""/>
      <w:lvlJc w:val="left"/>
      <w:pPr>
        <w:ind w:left="1428" w:hanging="360"/>
      </w:pPr>
      <w:rPr>
        <w:rFonts w:ascii="Symbol" w:hAnsi="Symbol"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13" w15:restartNumberingAfterBreak="0">
    <w:nsid w:val="56105F4C"/>
    <w:multiLevelType w:val="hybridMultilevel"/>
    <w:tmpl w:val="84866EC6"/>
    <w:lvl w:ilvl="0" w:tplc="63BA405C">
      <w:start w:val="1"/>
      <w:numFmt w:val="lowerRoman"/>
      <w:lvlText w:val="%1)"/>
      <w:lvlJc w:val="left"/>
      <w:pPr>
        <w:ind w:left="1004" w:hanging="720"/>
      </w:pPr>
      <w:rPr>
        <w:rFonts w:eastAsiaTheme="minorHAnsi" w:hint="default"/>
      </w:rPr>
    </w:lvl>
    <w:lvl w:ilvl="1" w:tplc="340A0019">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14" w15:restartNumberingAfterBreak="0">
    <w:nsid w:val="5640258F"/>
    <w:multiLevelType w:val="hybridMultilevel"/>
    <w:tmpl w:val="469E94B8"/>
    <w:lvl w:ilvl="0" w:tplc="8994717C">
      <w:start w:val="41"/>
      <w:numFmt w:val="bullet"/>
      <w:lvlText w:val="-"/>
      <w:lvlJc w:val="left"/>
      <w:pPr>
        <w:ind w:left="720" w:hanging="360"/>
      </w:pPr>
      <w:rPr>
        <w:rFonts w:ascii="Calibri" w:eastAsia="Calibri" w:hAnsi="Calibri"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5" w15:restartNumberingAfterBreak="0">
    <w:nsid w:val="594F73AC"/>
    <w:multiLevelType w:val="hybridMultilevel"/>
    <w:tmpl w:val="8802306C"/>
    <w:lvl w:ilvl="0" w:tplc="340A000F">
      <w:start w:val="1"/>
      <w:numFmt w:val="decimal"/>
      <w:lvlText w:val="%1."/>
      <w:lvlJc w:val="left"/>
      <w:pPr>
        <w:ind w:left="360" w:hanging="360"/>
      </w:p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start w:val="1"/>
      <w:numFmt w:val="decimal"/>
      <w:lvlText w:val="%4."/>
      <w:lvlJc w:val="left"/>
      <w:pPr>
        <w:ind w:left="2520" w:hanging="360"/>
      </w:pPr>
    </w:lvl>
    <w:lvl w:ilvl="4" w:tplc="340A0019">
      <w:start w:val="1"/>
      <w:numFmt w:val="lowerLetter"/>
      <w:lvlText w:val="%5."/>
      <w:lvlJc w:val="left"/>
      <w:pPr>
        <w:ind w:left="3240" w:hanging="360"/>
      </w:pPr>
    </w:lvl>
    <w:lvl w:ilvl="5" w:tplc="340A001B">
      <w:start w:val="1"/>
      <w:numFmt w:val="lowerRoman"/>
      <w:lvlText w:val="%6."/>
      <w:lvlJc w:val="right"/>
      <w:pPr>
        <w:ind w:left="3960" w:hanging="180"/>
      </w:pPr>
    </w:lvl>
    <w:lvl w:ilvl="6" w:tplc="340A000F">
      <w:start w:val="1"/>
      <w:numFmt w:val="decimal"/>
      <w:lvlText w:val="%7."/>
      <w:lvlJc w:val="left"/>
      <w:pPr>
        <w:ind w:left="4680" w:hanging="360"/>
      </w:pPr>
    </w:lvl>
    <w:lvl w:ilvl="7" w:tplc="340A0019">
      <w:start w:val="1"/>
      <w:numFmt w:val="lowerLetter"/>
      <w:lvlText w:val="%8."/>
      <w:lvlJc w:val="left"/>
      <w:pPr>
        <w:ind w:left="5400" w:hanging="360"/>
      </w:pPr>
    </w:lvl>
    <w:lvl w:ilvl="8" w:tplc="340A001B">
      <w:start w:val="1"/>
      <w:numFmt w:val="lowerRoman"/>
      <w:lvlText w:val="%9."/>
      <w:lvlJc w:val="right"/>
      <w:pPr>
        <w:ind w:left="6120" w:hanging="180"/>
      </w:pPr>
    </w:lvl>
  </w:abstractNum>
  <w:abstractNum w:abstractNumId="16" w15:restartNumberingAfterBreak="0">
    <w:nsid w:val="59FF673C"/>
    <w:multiLevelType w:val="hybridMultilevel"/>
    <w:tmpl w:val="6CE27BD2"/>
    <w:lvl w:ilvl="0" w:tplc="D5722628">
      <w:start w:val="1"/>
      <w:numFmt w:val="decimal"/>
      <w:lvlText w:val="%1."/>
      <w:lvlJc w:val="left"/>
      <w:pPr>
        <w:ind w:left="720" w:hanging="360"/>
      </w:pPr>
      <w:rPr>
        <w:b/>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7" w15:restartNumberingAfterBreak="0">
    <w:nsid w:val="65AC3A3D"/>
    <w:multiLevelType w:val="hybridMultilevel"/>
    <w:tmpl w:val="AF1C6D6C"/>
    <w:lvl w:ilvl="0" w:tplc="340A001B">
      <w:start w:val="1"/>
      <w:numFmt w:val="lowerRoman"/>
      <w:lvlText w:val="%1."/>
      <w:lvlJc w:val="right"/>
      <w:pPr>
        <w:ind w:left="1068" w:hanging="360"/>
      </w:p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8" w15:restartNumberingAfterBreak="0">
    <w:nsid w:val="65BD5A1F"/>
    <w:multiLevelType w:val="multilevel"/>
    <w:tmpl w:val="25A8F9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73B41986"/>
    <w:multiLevelType w:val="hybridMultilevel"/>
    <w:tmpl w:val="DE922326"/>
    <w:lvl w:ilvl="0" w:tplc="340A001B">
      <w:start w:val="1"/>
      <w:numFmt w:val="lowerRoman"/>
      <w:lvlText w:val="%1."/>
      <w:lvlJc w:val="right"/>
      <w:pPr>
        <w:ind w:left="1123" w:hanging="360"/>
      </w:pPr>
    </w:lvl>
    <w:lvl w:ilvl="1" w:tplc="340A0019" w:tentative="1">
      <w:start w:val="1"/>
      <w:numFmt w:val="lowerLetter"/>
      <w:lvlText w:val="%2."/>
      <w:lvlJc w:val="left"/>
      <w:pPr>
        <w:ind w:left="1843" w:hanging="360"/>
      </w:pPr>
    </w:lvl>
    <w:lvl w:ilvl="2" w:tplc="340A001B" w:tentative="1">
      <w:start w:val="1"/>
      <w:numFmt w:val="lowerRoman"/>
      <w:lvlText w:val="%3."/>
      <w:lvlJc w:val="right"/>
      <w:pPr>
        <w:ind w:left="2563" w:hanging="180"/>
      </w:pPr>
    </w:lvl>
    <w:lvl w:ilvl="3" w:tplc="340A000F" w:tentative="1">
      <w:start w:val="1"/>
      <w:numFmt w:val="decimal"/>
      <w:lvlText w:val="%4."/>
      <w:lvlJc w:val="left"/>
      <w:pPr>
        <w:ind w:left="3283" w:hanging="360"/>
      </w:pPr>
    </w:lvl>
    <w:lvl w:ilvl="4" w:tplc="340A0019" w:tentative="1">
      <w:start w:val="1"/>
      <w:numFmt w:val="lowerLetter"/>
      <w:lvlText w:val="%5."/>
      <w:lvlJc w:val="left"/>
      <w:pPr>
        <w:ind w:left="4003" w:hanging="360"/>
      </w:pPr>
    </w:lvl>
    <w:lvl w:ilvl="5" w:tplc="340A001B" w:tentative="1">
      <w:start w:val="1"/>
      <w:numFmt w:val="lowerRoman"/>
      <w:lvlText w:val="%6."/>
      <w:lvlJc w:val="right"/>
      <w:pPr>
        <w:ind w:left="4723" w:hanging="180"/>
      </w:pPr>
    </w:lvl>
    <w:lvl w:ilvl="6" w:tplc="340A000F" w:tentative="1">
      <w:start w:val="1"/>
      <w:numFmt w:val="decimal"/>
      <w:lvlText w:val="%7."/>
      <w:lvlJc w:val="left"/>
      <w:pPr>
        <w:ind w:left="5443" w:hanging="360"/>
      </w:pPr>
    </w:lvl>
    <w:lvl w:ilvl="7" w:tplc="340A0019" w:tentative="1">
      <w:start w:val="1"/>
      <w:numFmt w:val="lowerLetter"/>
      <w:lvlText w:val="%8."/>
      <w:lvlJc w:val="left"/>
      <w:pPr>
        <w:ind w:left="6163" w:hanging="360"/>
      </w:pPr>
    </w:lvl>
    <w:lvl w:ilvl="8" w:tplc="340A001B" w:tentative="1">
      <w:start w:val="1"/>
      <w:numFmt w:val="lowerRoman"/>
      <w:lvlText w:val="%9."/>
      <w:lvlJc w:val="right"/>
      <w:pPr>
        <w:ind w:left="6883" w:hanging="180"/>
      </w:pPr>
    </w:lvl>
  </w:abstractNum>
  <w:abstractNum w:abstractNumId="20" w15:restartNumberingAfterBreak="0">
    <w:nsid w:val="773F100E"/>
    <w:multiLevelType w:val="hybridMultilevel"/>
    <w:tmpl w:val="2F6E1C9C"/>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1" w15:restartNumberingAfterBreak="0">
    <w:nsid w:val="7ADF08A8"/>
    <w:multiLevelType w:val="hybridMultilevel"/>
    <w:tmpl w:val="5ACCE184"/>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2" w15:restartNumberingAfterBreak="0">
    <w:nsid w:val="7D310A68"/>
    <w:multiLevelType w:val="hybridMultilevel"/>
    <w:tmpl w:val="F52665B6"/>
    <w:lvl w:ilvl="0" w:tplc="C2F841F4">
      <w:start w:val="1"/>
      <w:numFmt w:val="decimal"/>
      <w:lvlText w:val="%1)"/>
      <w:lvlJc w:val="left"/>
      <w:pPr>
        <w:ind w:left="1428" w:hanging="360"/>
      </w:pPr>
      <w:rPr>
        <w:rFonts w:asciiTheme="minorHAnsi" w:eastAsiaTheme="minorHAnsi" w:hAnsiTheme="minorHAnsi" w:cstheme="minorHAnsi"/>
      </w:rPr>
    </w:lvl>
    <w:lvl w:ilvl="1" w:tplc="340A0019">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num w:numId="1" w16cid:durableId="1347102025">
    <w:abstractNumId w:val="14"/>
  </w:num>
  <w:num w:numId="2" w16cid:durableId="2086682630">
    <w:abstractNumId w:val="10"/>
  </w:num>
  <w:num w:numId="3" w16cid:durableId="2078744481">
    <w:abstractNumId w:val="14"/>
  </w:num>
  <w:num w:numId="4" w16cid:durableId="763379760">
    <w:abstractNumId w:val="10"/>
  </w:num>
  <w:num w:numId="5" w16cid:durableId="832986302">
    <w:abstractNumId w:val="8"/>
  </w:num>
  <w:num w:numId="6" w16cid:durableId="969743946">
    <w:abstractNumId w:val="8"/>
  </w:num>
  <w:num w:numId="7" w16cid:durableId="1786608504">
    <w:abstractNumId w:val="8"/>
  </w:num>
  <w:num w:numId="8" w16cid:durableId="1692755981">
    <w:abstractNumId w:val="8"/>
  </w:num>
  <w:num w:numId="9" w16cid:durableId="1219052690">
    <w:abstractNumId w:val="21"/>
  </w:num>
  <w:num w:numId="10" w16cid:durableId="839003284">
    <w:abstractNumId w:val="2"/>
  </w:num>
  <w:num w:numId="11" w16cid:durableId="2115981043">
    <w:abstractNumId w:val="20"/>
  </w:num>
  <w:num w:numId="12" w16cid:durableId="1956905772">
    <w:abstractNumId w:val="4"/>
  </w:num>
  <w:num w:numId="13" w16cid:durableId="4407201">
    <w:abstractNumId w:val="15"/>
  </w:num>
  <w:num w:numId="14" w16cid:durableId="925845400">
    <w:abstractNumId w:val="6"/>
  </w:num>
  <w:num w:numId="15" w16cid:durableId="1024942007">
    <w:abstractNumId w:val="3"/>
  </w:num>
  <w:num w:numId="16" w16cid:durableId="60830330">
    <w:abstractNumId w:val="16"/>
  </w:num>
  <w:num w:numId="17" w16cid:durableId="451946852">
    <w:abstractNumId w:val="12"/>
  </w:num>
  <w:num w:numId="18" w16cid:durableId="1359086761">
    <w:abstractNumId w:val="22"/>
  </w:num>
  <w:num w:numId="19" w16cid:durableId="1985694404">
    <w:abstractNumId w:val="13"/>
  </w:num>
  <w:num w:numId="20" w16cid:durableId="1085303689">
    <w:abstractNumId w:val="7"/>
  </w:num>
  <w:num w:numId="21" w16cid:durableId="366881843">
    <w:abstractNumId w:val="17"/>
  </w:num>
  <w:num w:numId="22" w16cid:durableId="1975064034">
    <w:abstractNumId w:val="9"/>
  </w:num>
  <w:num w:numId="23" w16cid:durableId="296878699">
    <w:abstractNumId w:val="1"/>
  </w:num>
  <w:num w:numId="24" w16cid:durableId="154763789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86853384">
    <w:abstractNumId w:val="5"/>
  </w:num>
  <w:num w:numId="26" w16cid:durableId="951398801">
    <w:abstractNumId w:val="11"/>
  </w:num>
  <w:num w:numId="27" w16cid:durableId="1687705105">
    <w:abstractNumId w:val="0"/>
  </w:num>
  <w:num w:numId="28" w16cid:durableId="165059799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6A2"/>
    <w:rsid w:val="00001E69"/>
    <w:rsid w:val="00006C98"/>
    <w:rsid w:val="00012CAF"/>
    <w:rsid w:val="00026109"/>
    <w:rsid w:val="00073883"/>
    <w:rsid w:val="00096323"/>
    <w:rsid w:val="000A0E1F"/>
    <w:rsid w:val="000C1B93"/>
    <w:rsid w:val="000C7BF5"/>
    <w:rsid w:val="000E43CD"/>
    <w:rsid w:val="000F185F"/>
    <w:rsid w:val="000F335A"/>
    <w:rsid w:val="000F6294"/>
    <w:rsid w:val="000F6DB8"/>
    <w:rsid w:val="0010121C"/>
    <w:rsid w:val="001022D3"/>
    <w:rsid w:val="001029D6"/>
    <w:rsid w:val="00135472"/>
    <w:rsid w:val="00137B6E"/>
    <w:rsid w:val="001423A9"/>
    <w:rsid w:val="001459A7"/>
    <w:rsid w:val="001549F7"/>
    <w:rsid w:val="00156230"/>
    <w:rsid w:val="001569D9"/>
    <w:rsid w:val="00170A2F"/>
    <w:rsid w:val="00180143"/>
    <w:rsid w:val="001B71BF"/>
    <w:rsid w:val="001B7859"/>
    <w:rsid w:val="001C3CC7"/>
    <w:rsid w:val="001C7D02"/>
    <w:rsid w:val="001D002B"/>
    <w:rsid w:val="001D3355"/>
    <w:rsid w:val="001D3BAD"/>
    <w:rsid w:val="001D5BBC"/>
    <w:rsid w:val="00210A80"/>
    <w:rsid w:val="00211B87"/>
    <w:rsid w:val="00223351"/>
    <w:rsid w:val="00227971"/>
    <w:rsid w:val="00231150"/>
    <w:rsid w:val="002401DD"/>
    <w:rsid w:val="002416EE"/>
    <w:rsid w:val="002626F0"/>
    <w:rsid w:val="00270F4D"/>
    <w:rsid w:val="00271E07"/>
    <w:rsid w:val="002823D0"/>
    <w:rsid w:val="002859B8"/>
    <w:rsid w:val="00295955"/>
    <w:rsid w:val="00295BCE"/>
    <w:rsid w:val="002967A7"/>
    <w:rsid w:val="002A5993"/>
    <w:rsid w:val="002A78DB"/>
    <w:rsid w:val="002A7FD4"/>
    <w:rsid w:val="002B15A1"/>
    <w:rsid w:val="002B3B0F"/>
    <w:rsid w:val="002C4C03"/>
    <w:rsid w:val="002C6B0C"/>
    <w:rsid w:val="0031477B"/>
    <w:rsid w:val="00317A38"/>
    <w:rsid w:val="003272E4"/>
    <w:rsid w:val="00334CDB"/>
    <w:rsid w:val="00335AA0"/>
    <w:rsid w:val="0034175D"/>
    <w:rsid w:val="00341FC7"/>
    <w:rsid w:val="00366275"/>
    <w:rsid w:val="00370AFD"/>
    <w:rsid w:val="003748B7"/>
    <w:rsid w:val="0037749F"/>
    <w:rsid w:val="003819DB"/>
    <w:rsid w:val="00396CA1"/>
    <w:rsid w:val="003C2C30"/>
    <w:rsid w:val="003C4120"/>
    <w:rsid w:val="003D300E"/>
    <w:rsid w:val="003D53C8"/>
    <w:rsid w:val="003E4597"/>
    <w:rsid w:val="003E78A1"/>
    <w:rsid w:val="00401A4E"/>
    <w:rsid w:val="00411D4C"/>
    <w:rsid w:val="00414F9B"/>
    <w:rsid w:val="00435FDB"/>
    <w:rsid w:val="00437385"/>
    <w:rsid w:val="00453686"/>
    <w:rsid w:val="0045573D"/>
    <w:rsid w:val="004712F8"/>
    <w:rsid w:val="00475C86"/>
    <w:rsid w:val="00493604"/>
    <w:rsid w:val="00493A59"/>
    <w:rsid w:val="004A52EF"/>
    <w:rsid w:val="004B1A5A"/>
    <w:rsid w:val="004D02B0"/>
    <w:rsid w:val="004D5860"/>
    <w:rsid w:val="004E01D6"/>
    <w:rsid w:val="004E7EEE"/>
    <w:rsid w:val="004F15C8"/>
    <w:rsid w:val="00500E31"/>
    <w:rsid w:val="00507758"/>
    <w:rsid w:val="00511274"/>
    <w:rsid w:val="005212F8"/>
    <w:rsid w:val="00532AB0"/>
    <w:rsid w:val="00544011"/>
    <w:rsid w:val="00545B3D"/>
    <w:rsid w:val="005516A9"/>
    <w:rsid w:val="00553E20"/>
    <w:rsid w:val="00562768"/>
    <w:rsid w:val="00585B71"/>
    <w:rsid w:val="005921AF"/>
    <w:rsid w:val="00593527"/>
    <w:rsid w:val="00596A48"/>
    <w:rsid w:val="005A1E0C"/>
    <w:rsid w:val="005A2990"/>
    <w:rsid w:val="005B02C2"/>
    <w:rsid w:val="005B0647"/>
    <w:rsid w:val="005C1AC6"/>
    <w:rsid w:val="005C5477"/>
    <w:rsid w:val="005D4809"/>
    <w:rsid w:val="005D6675"/>
    <w:rsid w:val="005E12DA"/>
    <w:rsid w:val="005E22B8"/>
    <w:rsid w:val="005F7311"/>
    <w:rsid w:val="005F7D5B"/>
    <w:rsid w:val="00612850"/>
    <w:rsid w:val="00617300"/>
    <w:rsid w:val="00622DDC"/>
    <w:rsid w:val="00637D56"/>
    <w:rsid w:val="00651C62"/>
    <w:rsid w:val="006639F6"/>
    <w:rsid w:val="00672284"/>
    <w:rsid w:val="006742FD"/>
    <w:rsid w:val="00677EA5"/>
    <w:rsid w:val="00685FFC"/>
    <w:rsid w:val="0069100A"/>
    <w:rsid w:val="00691769"/>
    <w:rsid w:val="006952F6"/>
    <w:rsid w:val="00696982"/>
    <w:rsid w:val="006A06BE"/>
    <w:rsid w:val="006B5A7C"/>
    <w:rsid w:val="006B6C8A"/>
    <w:rsid w:val="006D0CDA"/>
    <w:rsid w:val="006E0CE1"/>
    <w:rsid w:val="006E15ED"/>
    <w:rsid w:val="006E4434"/>
    <w:rsid w:val="006F0E45"/>
    <w:rsid w:val="00701FEF"/>
    <w:rsid w:val="007101E0"/>
    <w:rsid w:val="00721BE0"/>
    <w:rsid w:val="0072708E"/>
    <w:rsid w:val="0074330D"/>
    <w:rsid w:val="007558CF"/>
    <w:rsid w:val="007622A6"/>
    <w:rsid w:val="00763F70"/>
    <w:rsid w:val="00765817"/>
    <w:rsid w:val="007720A0"/>
    <w:rsid w:val="007773D0"/>
    <w:rsid w:val="00777DEE"/>
    <w:rsid w:val="00791865"/>
    <w:rsid w:val="0079703F"/>
    <w:rsid w:val="007A62FE"/>
    <w:rsid w:val="007B114E"/>
    <w:rsid w:val="007B7336"/>
    <w:rsid w:val="007C15AD"/>
    <w:rsid w:val="007D35CF"/>
    <w:rsid w:val="007E4354"/>
    <w:rsid w:val="00805373"/>
    <w:rsid w:val="00814C6F"/>
    <w:rsid w:val="00823E30"/>
    <w:rsid w:val="00830409"/>
    <w:rsid w:val="0083089C"/>
    <w:rsid w:val="00832487"/>
    <w:rsid w:val="00837488"/>
    <w:rsid w:val="00841CE5"/>
    <w:rsid w:val="00863F21"/>
    <w:rsid w:val="00871DAC"/>
    <w:rsid w:val="00897774"/>
    <w:rsid w:val="008A5560"/>
    <w:rsid w:val="008A6F73"/>
    <w:rsid w:val="008C1256"/>
    <w:rsid w:val="008E3952"/>
    <w:rsid w:val="008E458B"/>
    <w:rsid w:val="008E4CA5"/>
    <w:rsid w:val="008E5237"/>
    <w:rsid w:val="008F16DB"/>
    <w:rsid w:val="008F67EA"/>
    <w:rsid w:val="009275BF"/>
    <w:rsid w:val="009366A2"/>
    <w:rsid w:val="00936C9D"/>
    <w:rsid w:val="009426D6"/>
    <w:rsid w:val="0095261B"/>
    <w:rsid w:val="00954601"/>
    <w:rsid w:val="00954D5F"/>
    <w:rsid w:val="00970089"/>
    <w:rsid w:val="00974049"/>
    <w:rsid w:val="00977CA8"/>
    <w:rsid w:val="00980ACB"/>
    <w:rsid w:val="00985EB4"/>
    <w:rsid w:val="009865E5"/>
    <w:rsid w:val="009A1207"/>
    <w:rsid w:val="009B2DD1"/>
    <w:rsid w:val="009B7195"/>
    <w:rsid w:val="009C5EA8"/>
    <w:rsid w:val="009D7E9E"/>
    <w:rsid w:val="009E705D"/>
    <w:rsid w:val="00A00EAA"/>
    <w:rsid w:val="00A03F73"/>
    <w:rsid w:val="00A04E83"/>
    <w:rsid w:val="00A073F5"/>
    <w:rsid w:val="00A108D9"/>
    <w:rsid w:val="00A30CB2"/>
    <w:rsid w:val="00A42067"/>
    <w:rsid w:val="00A44491"/>
    <w:rsid w:val="00A81C2C"/>
    <w:rsid w:val="00A85F14"/>
    <w:rsid w:val="00A87AC1"/>
    <w:rsid w:val="00AA2786"/>
    <w:rsid w:val="00AB4BF7"/>
    <w:rsid w:val="00AC7D64"/>
    <w:rsid w:val="00AD0CCD"/>
    <w:rsid w:val="00AD3BC0"/>
    <w:rsid w:val="00AD524A"/>
    <w:rsid w:val="00AE0BEB"/>
    <w:rsid w:val="00AE0CD6"/>
    <w:rsid w:val="00AE2430"/>
    <w:rsid w:val="00AE7CA9"/>
    <w:rsid w:val="00B01787"/>
    <w:rsid w:val="00B01DB4"/>
    <w:rsid w:val="00B21C59"/>
    <w:rsid w:val="00B21D54"/>
    <w:rsid w:val="00B27B6A"/>
    <w:rsid w:val="00B4710B"/>
    <w:rsid w:val="00B61780"/>
    <w:rsid w:val="00B6315A"/>
    <w:rsid w:val="00B80022"/>
    <w:rsid w:val="00B83549"/>
    <w:rsid w:val="00B935F3"/>
    <w:rsid w:val="00BB23B8"/>
    <w:rsid w:val="00BB3939"/>
    <w:rsid w:val="00BB489B"/>
    <w:rsid w:val="00BC59EF"/>
    <w:rsid w:val="00BD739D"/>
    <w:rsid w:val="00C017F1"/>
    <w:rsid w:val="00C02288"/>
    <w:rsid w:val="00C10E03"/>
    <w:rsid w:val="00C1771B"/>
    <w:rsid w:val="00C248E6"/>
    <w:rsid w:val="00C36A9C"/>
    <w:rsid w:val="00C445E8"/>
    <w:rsid w:val="00C50D64"/>
    <w:rsid w:val="00C55047"/>
    <w:rsid w:val="00C60D11"/>
    <w:rsid w:val="00C744EC"/>
    <w:rsid w:val="00C778EB"/>
    <w:rsid w:val="00C866FC"/>
    <w:rsid w:val="00C8769C"/>
    <w:rsid w:val="00C935AF"/>
    <w:rsid w:val="00CA0FBC"/>
    <w:rsid w:val="00CA73AA"/>
    <w:rsid w:val="00CB6632"/>
    <w:rsid w:val="00CC1CDE"/>
    <w:rsid w:val="00CC3BD7"/>
    <w:rsid w:val="00CC5E38"/>
    <w:rsid w:val="00CD0353"/>
    <w:rsid w:val="00CD09C0"/>
    <w:rsid w:val="00CD29B7"/>
    <w:rsid w:val="00CF5084"/>
    <w:rsid w:val="00D002C4"/>
    <w:rsid w:val="00D02DB0"/>
    <w:rsid w:val="00D0330D"/>
    <w:rsid w:val="00D10B0C"/>
    <w:rsid w:val="00D16866"/>
    <w:rsid w:val="00D33699"/>
    <w:rsid w:val="00D409FA"/>
    <w:rsid w:val="00D431BA"/>
    <w:rsid w:val="00D4668B"/>
    <w:rsid w:val="00D5445C"/>
    <w:rsid w:val="00D76270"/>
    <w:rsid w:val="00D86221"/>
    <w:rsid w:val="00D979A1"/>
    <w:rsid w:val="00DB0CD7"/>
    <w:rsid w:val="00DB4260"/>
    <w:rsid w:val="00DB5EBB"/>
    <w:rsid w:val="00DB763D"/>
    <w:rsid w:val="00DD747A"/>
    <w:rsid w:val="00DE0EFB"/>
    <w:rsid w:val="00DE28CA"/>
    <w:rsid w:val="00DF1FBB"/>
    <w:rsid w:val="00DF4E18"/>
    <w:rsid w:val="00E0177B"/>
    <w:rsid w:val="00E1089E"/>
    <w:rsid w:val="00E11B39"/>
    <w:rsid w:val="00E24B91"/>
    <w:rsid w:val="00E32192"/>
    <w:rsid w:val="00E41A30"/>
    <w:rsid w:val="00E42A62"/>
    <w:rsid w:val="00E513A5"/>
    <w:rsid w:val="00E65C51"/>
    <w:rsid w:val="00E72530"/>
    <w:rsid w:val="00E90FE0"/>
    <w:rsid w:val="00EA4A5E"/>
    <w:rsid w:val="00EB17AC"/>
    <w:rsid w:val="00EB38FE"/>
    <w:rsid w:val="00EB6135"/>
    <w:rsid w:val="00EB6C15"/>
    <w:rsid w:val="00ED17D2"/>
    <w:rsid w:val="00ED62D3"/>
    <w:rsid w:val="00EF6793"/>
    <w:rsid w:val="00F02C64"/>
    <w:rsid w:val="00F32C92"/>
    <w:rsid w:val="00F36517"/>
    <w:rsid w:val="00F46F6B"/>
    <w:rsid w:val="00F54732"/>
    <w:rsid w:val="00F85836"/>
    <w:rsid w:val="00FA1992"/>
    <w:rsid w:val="00FB1236"/>
    <w:rsid w:val="00FC394B"/>
    <w:rsid w:val="00FC78DF"/>
    <w:rsid w:val="00FD27CB"/>
    <w:rsid w:val="00FE49EE"/>
    <w:rsid w:val="00FE5023"/>
    <w:rsid w:val="00FE52F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875A0"/>
  <w15:chartTrackingRefBased/>
  <w15:docId w15:val="{1CA7B37F-2FE5-4462-928E-ACCF53E95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2A78DB"/>
    <w:pPr>
      <w:keepNext/>
      <w:keepLines/>
      <w:numPr>
        <w:numId w:val="5"/>
      </w:numPr>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2A78DB"/>
    <w:pPr>
      <w:keepNext/>
      <w:keepLines/>
      <w:numPr>
        <w:ilvl w:val="1"/>
        <w:numId w:val="5"/>
      </w:numPr>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2A78DB"/>
    <w:pPr>
      <w:keepNext/>
      <w:keepLines/>
      <w:numPr>
        <w:ilvl w:val="2"/>
        <w:numId w:val="5"/>
      </w:numPr>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2A78DB"/>
    <w:pPr>
      <w:keepNext/>
      <w:keepLines/>
      <w:numPr>
        <w:ilvl w:val="3"/>
        <w:numId w:val="5"/>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2A78DB"/>
    <w:pPr>
      <w:keepNext/>
      <w:keepLines/>
      <w:numPr>
        <w:ilvl w:val="4"/>
        <w:numId w:val="5"/>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2A78DB"/>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2A78DB"/>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2A78DB"/>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2A78DB"/>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819DB"/>
    <w:pPr>
      <w:spacing w:after="0" w:line="240" w:lineRule="auto"/>
      <w:ind w:left="720"/>
    </w:pPr>
    <w:rPr>
      <w:rFonts w:ascii="Calibri" w:hAnsi="Calibri" w:cs="Times New Roman"/>
    </w:rPr>
  </w:style>
  <w:style w:type="character" w:customStyle="1" w:styleId="Ttulo1Car">
    <w:name w:val="Título 1 Car"/>
    <w:basedOn w:val="Fuentedeprrafopredeter"/>
    <w:link w:val="Ttulo1"/>
    <w:uiPriority w:val="9"/>
    <w:rsid w:val="002A78DB"/>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sid w:val="002A78DB"/>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semiHidden/>
    <w:rsid w:val="002A78DB"/>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semiHidden/>
    <w:rsid w:val="002A78DB"/>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2A78DB"/>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2A78DB"/>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2A78DB"/>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2A78DB"/>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2A78DB"/>
    <w:rPr>
      <w:rFonts w:asciiTheme="majorHAnsi" w:eastAsiaTheme="majorEastAsia" w:hAnsiTheme="majorHAnsi" w:cstheme="majorBidi"/>
      <w:i/>
      <w:iCs/>
      <w:color w:val="272727" w:themeColor="text1" w:themeTint="D8"/>
      <w:sz w:val="21"/>
      <w:szCs w:val="21"/>
    </w:rPr>
  </w:style>
  <w:style w:type="character" w:styleId="Hipervnculo">
    <w:name w:val="Hyperlink"/>
    <w:basedOn w:val="Fuentedeprrafopredeter"/>
    <w:uiPriority w:val="99"/>
    <w:unhideWhenUsed/>
    <w:rsid w:val="008C1256"/>
    <w:rPr>
      <w:color w:val="0563C1" w:themeColor="hyperlink"/>
      <w:u w:val="single"/>
    </w:rPr>
  </w:style>
  <w:style w:type="paragraph" w:styleId="Ttulo">
    <w:name w:val="Title"/>
    <w:basedOn w:val="Normal"/>
    <w:next w:val="Normal"/>
    <w:link w:val="TtuloCar"/>
    <w:uiPriority w:val="10"/>
    <w:qFormat/>
    <w:rsid w:val="001C3CC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1C3CC7"/>
    <w:rPr>
      <w:rFonts w:asciiTheme="majorHAnsi" w:eastAsiaTheme="majorEastAsia" w:hAnsiTheme="majorHAnsi" w:cstheme="majorBidi"/>
      <w:spacing w:val="-10"/>
      <w:kern w:val="28"/>
      <w:sz w:val="56"/>
      <w:szCs w:val="56"/>
    </w:rPr>
  </w:style>
  <w:style w:type="paragraph" w:styleId="Textodeglobo">
    <w:name w:val="Balloon Text"/>
    <w:basedOn w:val="Normal"/>
    <w:link w:val="TextodegloboCar"/>
    <w:uiPriority w:val="99"/>
    <w:semiHidden/>
    <w:unhideWhenUsed/>
    <w:rsid w:val="005A299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2990"/>
    <w:rPr>
      <w:rFonts w:ascii="Segoe UI" w:hAnsi="Segoe UI" w:cs="Segoe UI"/>
      <w:sz w:val="18"/>
      <w:szCs w:val="18"/>
    </w:rPr>
  </w:style>
  <w:style w:type="paragraph" w:styleId="Encabezado">
    <w:name w:val="header"/>
    <w:basedOn w:val="Normal"/>
    <w:link w:val="EncabezadoCar"/>
    <w:uiPriority w:val="99"/>
    <w:unhideWhenUsed/>
    <w:rsid w:val="00B835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83549"/>
  </w:style>
  <w:style w:type="paragraph" w:styleId="Piedepgina">
    <w:name w:val="footer"/>
    <w:basedOn w:val="Normal"/>
    <w:link w:val="PiedepginaCar"/>
    <w:uiPriority w:val="99"/>
    <w:unhideWhenUsed/>
    <w:rsid w:val="00B835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83549"/>
  </w:style>
  <w:style w:type="character" w:customStyle="1" w:styleId="apple-converted-space">
    <w:name w:val="apple-converted-space"/>
    <w:basedOn w:val="Fuentedeprrafopredeter"/>
    <w:rsid w:val="001D3BAD"/>
  </w:style>
  <w:style w:type="paragraph" w:customStyle="1" w:styleId="m3326619961707192176gmail-msolistparagraph">
    <w:name w:val="m_3326619961707192176gmail-msolistparagraph"/>
    <w:basedOn w:val="Normal"/>
    <w:rsid w:val="00E41A30"/>
    <w:pPr>
      <w:spacing w:before="100" w:beforeAutospacing="1" w:after="100" w:afterAutospacing="1" w:line="240" w:lineRule="auto"/>
    </w:pPr>
    <w:rPr>
      <w:rFonts w:ascii="Times New Roman" w:eastAsia="Times New Roman" w:hAnsi="Times New Roman" w:cs="Times New Roman"/>
      <w:sz w:val="24"/>
      <w:szCs w:val="24"/>
      <w:lang w:eastAsia="es-CL"/>
    </w:rPr>
  </w:style>
  <w:style w:type="table" w:styleId="Tablaconcuadrcula1Claro-nfasis2">
    <w:name w:val="Grid Table 1 Light Accent 2"/>
    <w:basedOn w:val="Tablanormal"/>
    <w:uiPriority w:val="46"/>
    <w:rsid w:val="00170A2F"/>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Mencinsinresolver">
    <w:name w:val="Unresolved Mention"/>
    <w:basedOn w:val="Fuentedeprrafopredeter"/>
    <w:uiPriority w:val="99"/>
    <w:semiHidden/>
    <w:unhideWhenUsed/>
    <w:rsid w:val="00C744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032185">
      <w:bodyDiv w:val="1"/>
      <w:marLeft w:val="0"/>
      <w:marRight w:val="0"/>
      <w:marTop w:val="0"/>
      <w:marBottom w:val="0"/>
      <w:divBdr>
        <w:top w:val="none" w:sz="0" w:space="0" w:color="auto"/>
        <w:left w:val="none" w:sz="0" w:space="0" w:color="auto"/>
        <w:bottom w:val="none" w:sz="0" w:space="0" w:color="auto"/>
        <w:right w:val="none" w:sz="0" w:space="0" w:color="auto"/>
      </w:divBdr>
    </w:div>
    <w:div w:id="491259738">
      <w:bodyDiv w:val="1"/>
      <w:marLeft w:val="0"/>
      <w:marRight w:val="0"/>
      <w:marTop w:val="0"/>
      <w:marBottom w:val="0"/>
      <w:divBdr>
        <w:top w:val="none" w:sz="0" w:space="0" w:color="auto"/>
        <w:left w:val="none" w:sz="0" w:space="0" w:color="auto"/>
        <w:bottom w:val="none" w:sz="0" w:space="0" w:color="auto"/>
        <w:right w:val="none" w:sz="0" w:space="0" w:color="auto"/>
      </w:divBdr>
    </w:div>
    <w:div w:id="534271205">
      <w:bodyDiv w:val="1"/>
      <w:marLeft w:val="0"/>
      <w:marRight w:val="0"/>
      <w:marTop w:val="0"/>
      <w:marBottom w:val="0"/>
      <w:divBdr>
        <w:top w:val="none" w:sz="0" w:space="0" w:color="auto"/>
        <w:left w:val="none" w:sz="0" w:space="0" w:color="auto"/>
        <w:bottom w:val="none" w:sz="0" w:space="0" w:color="auto"/>
        <w:right w:val="none" w:sz="0" w:space="0" w:color="auto"/>
      </w:divBdr>
    </w:div>
    <w:div w:id="832262660">
      <w:bodyDiv w:val="1"/>
      <w:marLeft w:val="0"/>
      <w:marRight w:val="0"/>
      <w:marTop w:val="0"/>
      <w:marBottom w:val="0"/>
      <w:divBdr>
        <w:top w:val="none" w:sz="0" w:space="0" w:color="auto"/>
        <w:left w:val="none" w:sz="0" w:space="0" w:color="auto"/>
        <w:bottom w:val="none" w:sz="0" w:space="0" w:color="auto"/>
        <w:right w:val="none" w:sz="0" w:space="0" w:color="auto"/>
      </w:divBdr>
    </w:div>
    <w:div w:id="1041898785">
      <w:bodyDiv w:val="1"/>
      <w:marLeft w:val="0"/>
      <w:marRight w:val="0"/>
      <w:marTop w:val="0"/>
      <w:marBottom w:val="0"/>
      <w:divBdr>
        <w:top w:val="none" w:sz="0" w:space="0" w:color="auto"/>
        <w:left w:val="none" w:sz="0" w:space="0" w:color="auto"/>
        <w:bottom w:val="none" w:sz="0" w:space="0" w:color="auto"/>
        <w:right w:val="none" w:sz="0" w:space="0" w:color="auto"/>
      </w:divBdr>
    </w:div>
    <w:div w:id="1147088095">
      <w:bodyDiv w:val="1"/>
      <w:marLeft w:val="0"/>
      <w:marRight w:val="0"/>
      <w:marTop w:val="0"/>
      <w:marBottom w:val="0"/>
      <w:divBdr>
        <w:top w:val="none" w:sz="0" w:space="0" w:color="auto"/>
        <w:left w:val="none" w:sz="0" w:space="0" w:color="auto"/>
        <w:bottom w:val="none" w:sz="0" w:space="0" w:color="auto"/>
        <w:right w:val="none" w:sz="0" w:space="0" w:color="auto"/>
      </w:divBdr>
    </w:div>
    <w:div w:id="1182627142">
      <w:bodyDiv w:val="1"/>
      <w:marLeft w:val="0"/>
      <w:marRight w:val="0"/>
      <w:marTop w:val="0"/>
      <w:marBottom w:val="0"/>
      <w:divBdr>
        <w:top w:val="none" w:sz="0" w:space="0" w:color="auto"/>
        <w:left w:val="none" w:sz="0" w:space="0" w:color="auto"/>
        <w:bottom w:val="none" w:sz="0" w:space="0" w:color="auto"/>
        <w:right w:val="none" w:sz="0" w:space="0" w:color="auto"/>
      </w:divBdr>
    </w:div>
    <w:div w:id="1246525837">
      <w:bodyDiv w:val="1"/>
      <w:marLeft w:val="0"/>
      <w:marRight w:val="0"/>
      <w:marTop w:val="0"/>
      <w:marBottom w:val="0"/>
      <w:divBdr>
        <w:top w:val="none" w:sz="0" w:space="0" w:color="auto"/>
        <w:left w:val="none" w:sz="0" w:space="0" w:color="auto"/>
        <w:bottom w:val="none" w:sz="0" w:space="0" w:color="auto"/>
        <w:right w:val="none" w:sz="0" w:space="0" w:color="auto"/>
      </w:divBdr>
    </w:div>
    <w:div w:id="1428186003">
      <w:bodyDiv w:val="1"/>
      <w:marLeft w:val="0"/>
      <w:marRight w:val="0"/>
      <w:marTop w:val="0"/>
      <w:marBottom w:val="0"/>
      <w:divBdr>
        <w:top w:val="none" w:sz="0" w:space="0" w:color="auto"/>
        <w:left w:val="none" w:sz="0" w:space="0" w:color="auto"/>
        <w:bottom w:val="none" w:sz="0" w:space="0" w:color="auto"/>
        <w:right w:val="none" w:sz="0" w:space="0" w:color="auto"/>
      </w:divBdr>
    </w:div>
    <w:div w:id="1670207852">
      <w:bodyDiv w:val="1"/>
      <w:marLeft w:val="0"/>
      <w:marRight w:val="0"/>
      <w:marTop w:val="0"/>
      <w:marBottom w:val="0"/>
      <w:divBdr>
        <w:top w:val="none" w:sz="0" w:space="0" w:color="auto"/>
        <w:left w:val="none" w:sz="0" w:space="0" w:color="auto"/>
        <w:bottom w:val="none" w:sz="0" w:space="0" w:color="auto"/>
        <w:right w:val="none" w:sz="0" w:space="0" w:color="auto"/>
      </w:divBdr>
    </w:div>
    <w:div w:id="176660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tidadestecnicas.sma.gob.cl/Home/Documento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tidadestecnicas.sma.gob.cl/Home/Documentos" TargetMode="External"/><Relationship Id="rId12" Type="http://schemas.openxmlformats.org/officeDocument/2006/relationships/hyperlink" Target="https://entidadestecnicas.sma.gob.cl/Home/Documento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tidadestecnicas.sma.gob.cl/Home/Documentos" TargetMode="External"/><Relationship Id="rId5" Type="http://schemas.openxmlformats.org/officeDocument/2006/relationships/footnotes" Target="footnotes.xml"/><Relationship Id="rId15" Type="http://schemas.openxmlformats.org/officeDocument/2006/relationships/hyperlink" Target="https://entidadestecnicas.sma.gob.cl/Home/Documentos" TargetMode="External"/><Relationship Id="rId10" Type="http://schemas.openxmlformats.org/officeDocument/2006/relationships/hyperlink" Target="https://entidadestecnicas.sma.gob.cl/Home/Documento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tidadestecnicas.sma.gob.cl/Sucursal/RegistroPublico" TargetMode="External"/><Relationship Id="rId14" Type="http://schemas.openxmlformats.org/officeDocument/2006/relationships/hyperlink" Target="https://entidadestecnicas.sma.gob.cl/Home/Documento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registroentidades@sma.gob.cl-%20Preguntas" TargetMode="External"/><Relationship Id="rId1" Type="http://schemas.openxmlformats.org/officeDocument/2006/relationships/hyperlink" Target="http://www.sma.gob.c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2882</Words>
  <Characters>15857</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 Antonio Montes Montes</dc:creator>
  <cp:keywords/>
  <dc:description/>
  <cp:lastModifiedBy>Monica Vergara Gallardo</cp:lastModifiedBy>
  <cp:revision>2</cp:revision>
  <cp:lastPrinted>2017-10-23T19:12:00Z</cp:lastPrinted>
  <dcterms:created xsi:type="dcterms:W3CDTF">2023-03-31T11:28:00Z</dcterms:created>
  <dcterms:modified xsi:type="dcterms:W3CDTF">2023-03-31T11:28:00Z</dcterms:modified>
</cp:coreProperties>
</file>